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2DCD21B0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0550981D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>wynikającej z art. 233 § 1 k.k</w:t>
      </w:r>
      <w:r w:rsidR="0006005E">
        <w:rPr>
          <w:rFonts w:asciiTheme="minorHAnsi" w:hAnsiTheme="minorHAnsi" w:cstheme="minorHAnsi"/>
          <w:sz w:val="24"/>
          <w:szCs w:val="24"/>
        </w:rPr>
        <w:t>.</w:t>
      </w:r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449EA"/>
    <w:rsid w:val="0006005E"/>
    <w:rsid w:val="000E22BC"/>
    <w:rsid w:val="0019469A"/>
    <w:rsid w:val="001C2040"/>
    <w:rsid w:val="003859E3"/>
    <w:rsid w:val="007A5C75"/>
    <w:rsid w:val="008E4267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4</cp:revision>
  <cp:lastPrinted>2022-11-17T11:52:00Z</cp:lastPrinted>
  <dcterms:created xsi:type="dcterms:W3CDTF">2023-08-17T12:45:00Z</dcterms:created>
  <dcterms:modified xsi:type="dcterms:W3CDTF">2024-05-21T07:31:00Z</dcterms:modified>
</cp:coreProperties>
</file>