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220DFC" w14:textId="7B21C1F6" w:rsidR="001A09F9" w:rsidRPr="004029E5" w:rsidRDefault="001A09F9" w:rsidP="001A09F9">
      <w:pPr>
        <w:spacing w:line="240" w:lineRule="auto"/>
        <w:ind w:left="4956" w:firstLine="708"/>
        <w:jc w:val="both"/>
        <w:rPr>
          <w:rFonts w:cs="Calibri"/>
          <w:b/>
          <w:bCs/>
          <w:color w:val="000000" w:themeColor="text1"/>
          <w:sz w:val="24"/>
          <w:szCs w:val="24"/>
        </w:rPr>
      </w:pPr>
      <w:r w:rsidRPr="004029E5">
        <w:rPr>
          <w:rFonts w:eastAsia="Times New Roman" w:cs="Calibri"/>
          <w:b/>
          <w:bCs/>
          <w:color w:val="000000" w:themeColor="text1"/>
          <w:sz w:val="24"/>
          <w:szCs w:val="24"/>
        </w:rPr>
        <w:t>Załącznik nr  2</w:t>
      </w:r>
    </w:p>
    <w:p w14:paraId="287F4468" w14:textId="1393A803" w:rsidR="001A09F9" w:rsidRPr="004029E5" w:rsidRDefault="001A09F9" w:rsidP="001A09F9">
      <w:pPr>
        <w:spacing w:line="240" w:lineRule="auto"/>
        <w:jc w:val="both"/>
        <w:rPr>
          <w:rFonts w:cs="Calibri"/>
          <w:b/>
          <w:bCs/>
          <w:color w:val="000000" w:themeColor="text1"/>
          <w:sz w:val="24"/>
          <w:szCs w:val="24"/>
        </w:rPr>
      </w:pPr>
      <w:r w:rsidRPr="004029E5">
        <w:rPr>
          <w:rFonts w:cs="Calibri"/>
          <w:b/>
          <w:bCs/>
          <w:color w:val="000000" w:themeColor="text1"/>
          <w:sz w:val="24"/>
          <w:szCs w:val="24"/>
        </w:rPr>
        <w:tab/>
      </w:r>
      <w:r w:rsidRPr="004029E5">
        <w:rPr>
          <w:rFonts w:cs="Calibri"/>
          <w:b/>
          <w:bCs/>
          <w:color w:val="000000" w:themeColor="text1"/>
          <w:sz w:val="24"/>
          <w:szCs w:val="24"/>
        </w:rPr>
        <w:tab/>
      </w:r>
      <w:r w:rsidRPr="004029E5">
        <w:rPr>
          <w:rFonts w:cs="Calibri"/>
          <w:b/>
          <w:bCs/>
          <w:color w:val="000000" w:themeColor="text1"/>
          <w:sz w:val="24"/>
          <w:szCs w:val="24"/>
        </w:rPr>
        <w:tab/>
      </w:r>
      <w:r w:rsidRPr="004029E5">
        <w:rPr>
          <w:rFonts w:cs="Calibri"/>
          <w:b/>
          <w:bCs/>
          <w:color w:val="000000" w:themeColor="text1"/>
          <w:sz w:val="24"/>
          <w:szCs w:val="24"/>
        </w:rPr>
        <w:tab/>
      </w:r>
      <w:r w:rsidRPr="004029E5">
        <w:rPr>
          <w:rFonts w:cs="Calibri"/>
          <w:b/>
          <w:bCs/>
          <w:color w:val="000000" w:themeColor="text1"/>
          <w:sz w:val="24"/>
          <w:szCs w:val="24"/>
        </w:rPr>
        <w:tab/>
      </w:r>
      <w:r w:rsidRPr="004029E5">
        <w:rPr>
          <w:rFonts w:cs="Calibri"/>
          <w:b/>
          <w:bCs/>
          <w:color w:val="000000" w:themeColor="text1"/>
          <w:sz w:val="24"/>
          <w:szCs w:val="24"/>
        </w:rPr>
        <w:tab/>
      </w:r>
      <w:r w:rsidRPr="004029E5">
        <w:rPr>
          <w:rFonts w:cs="Calibri"/>
          <w:b/>
          <w:bCs/>
          <w:color w:val="000000" w:themeColor="text1"/>
          <w:sz w:val="24"/>
          <w:szCs w:val="24"/>
        </w:rPr>
        <w:tab/>
      </w:r>
      <w:r w:rsidRPr="004029E5">
        <w:rPr>
          <w:rFonts w:cs="Calibri"/>
          <w:b/>
          <w:bCs/>
          <w:color w:val="000000" w:themeColor="text1"/>
          <w:sz w:val="24"/>
          <w:szCs w:val="24"/>
        </w:rPr>
        <w:tab/>
        <w:t xml:space="preserve">do Zarządzenia nr  </w:t>
      </w:r>
      <w:r w:rsidR="008520F3">
        <w:rPr>
          <w:rFonts w:cs="Calibri"/>
          <w:b/>
          <w:bCs/>
          <w:color w:val="000000" w:themeColor="text1"/>
          <w:sz w:val="24"/>
          <w:szCs w:val="24"/>
        </w:rPr>
        <w:t>94/2021</w:t>
      </w:r>
    </w:p>
    <w:p w14:paraId="357004AD" w14:textId="77777777" w:rsidR="001A09F9" w:rsidRPr="004029E5" w:rsidRDefault="001A09F9" w:rsidP="001A09F9">
      <w:pPr>
        <w:spacing w:line="240" w:lineRule="auto"/>
        <w:jc w:val="both"/>
        <w:rPr>
          <w:rFonts w:cs="Calibri"/>
          <w:b/>
          <w:bCs/>
          <w:color w:val="000000" w:themeColor="text1"/>
          <w:sz w:val="24"/>
          <w:szCs w:val="24"/>
        </w:rPr>
      </w:pPr>
      <w:r w:rsidRPr="004029E5">
        <w:rPr>
          <w:rFonts w:cs="Calibri"/>
          <w:b/>
          <w:bCs/>
          <w:color w:val="000000" w:themeColor="text1"/>
          <w:sz w:val="24"/>
          <w:szCs w:val="24"/>
        </w:rPr>
        <w:tab/>
      </w:r>
      <w:r w:rsidRPr="004029E5">
        <w:rPr>
          <w:rFonts w:cs="Calibri"/>
          <w:b/>
          <w:bCs/>
          <w:color w:val="000000" w:themeColor="text1"/>
          <w:sz w:val="24"/>
          <w:szCs w:val="24"/>
        </w:rPr>
        <w:tab/>
      </w:r>
      <w:r w:rsidRPr="004029E5">
        <w:rPr>
          <w:rFonts w:cs="Calibri"/>
          <w:b/>
          <w:bCs/>
          <w:color w:val="000000" w:themeColor="text1"/>
          <w:sz w:val="24"/>
          <w:szCs w:val="24"/>
        </w:rPr>
        <w:tab/>
      </w:r>
      <w:r w:rsidRPr="004029E5">
        <w:rPr>
          <w:rFonts w:cs="Calibri"/>
          <w:b/>
          <w:bCs/>
          <w:color w:val="000000" w:themeColor="text1"/>
          <w:sz w:val="24"/>
          <w:szCs w:val="24"/>
        </w:rPr>
        <w:tab/>
      </w:r>
      <w:r w:rsidRPr="004029E5">
        <w:rPr>
          <w:rFonts w:cs="Calibri"/>
          <w:b/>
          <w:bCs/>
          <w:color w:val="000000" w:themeColor="text1"/>
          <w:sz w:val="24"/>
          <w:szCs w:val="24"/>
        </w:rPr>
        <w:tab/>
      </w:r>
      <w:r w:rsidRPr="004029E5">
        <w:rPr>
          <w:rFonts w:cs="Calibri"/>
          <w:b/>
          <w:bCs/>
          <w:color w:val="000000" w:themeColor="text1"/>
          <w:sz w:val="24"/>
          <w:szCs w:val="24"/>
        </w:rPr>
        <w:tab/>
      </w:r>
      <w:r w:rsidRPr="004029E5">
        <w:rPr>
          <w:rFonts w:cs="Calibri"/>
          <w:b/>
          <w:bCs/>
          <w:color w:val="000000" w:themeColor="text1"/>
          <w:sz w:val="24"/>
          <w:szCs w:val="24"/>
        </w:rPr>
        <w:tab/>
      </w:r>
      <w:r w:rsidRPr="004029E5">
        <w:rPr>
          <w:rFonts w:cs="Calibri"/>
          <w:b/>
          <w:bCs/>
          <w:color w:val="000000" w:themeColor="text1"/>
          <w:sz w:val="24"/>
          <w:szCs w:val="24"/>
        </w:rPr>
        <w:tab/>
        <w:t xml:space="preserve">Prezydenta Miasta Pruszkowa </w:t>
      </w:r>
    </w:p>
    <w:p w14:paraId="257031D9" w14:textId="1E19901D" w:rsidR="001A09F9" w:rsidRPr="004029E5" w:rsidRDefault="001A09F9" w:rsidP="001A09F9">
      <w:pPr>
        <w:spacing w:line="240" w:lineRule="auto"/>
        <w:jc w:val="both"/>
        <w:rPr>
          <w:rFonts w:cs="Calibri"/>
          <w:b/>
          <w:bCs/>
          <w:color w:val="000000" w:themeColor="text1"/>
          <w:sz w:val="24"/>
          <w:szCs w:val="24"/>
        </w:rPr>
      </w:pPr>
      <w:r w:rsidRPr="004029E5">
        <w:rPr>
          <w:rFonts w:cs="Calibri"/>
          <w:b/>
          <w:bCs/>
          <w:color w:val="000000" w:themeColor="text1"/>
          <w:sz w:val="24"/>
          <w:szCs w:val="24"/>
        </w:rPr>
        <w:tab/>
      </w:r>
      <w:r w:rsidRPr="004029E5">
        <w:rPr>
          <w:rFonts w:cs="Calibri"/>
          <w:b/>
          <w:bCs/>
          <w:color w:val="000000" w:themeColor="text1"/>
          <w:sz w:val="24"/>
          <w:szCs w:val="24"/>
        </w:rPr>
        <w:tab/>
      </w:r>
      <w:r w:rsidRPr="004029E5">
        <w:rPr>
          <w:rFonts w:cs="Calibri"/>
          <w:b/>
          <w:bCs/>
          <w:color w:val="000000" w:themeColor="text1"/>
          <w:sz w:val="24"/>
          <w:szCs w:val="24"/>
        </w:rPr>
        <w:tab/>
      </w:r>
      <w:r w:rsidRPr="004029E5">
        <w:rPr>
          <w:rFonts w:cs="Calibri"/>
          <w:b/>
          <w:bCs/>
          <w:color w:val="000000" w:themeColor="text1"/>
          <w:sz w:val="24"/>
          <w:szCs w:val="24"/>
        </w:rPr>
        <w:tab/>
      </w:r>
      <w:r w:rsidRPr="004029E5">
        <w:rPr>
          <w:rFonts w:cs="Calibri"/>
          <w:b/>
          <w:bCs/>
          <w:color w:val="000000" w:themeColor="text1"/>
          <w:sz w:val="24"/>
          <w:szCs w:val="24"/>
        </w:rPr>
        <w:tab/>
      </w:r>
      <w:r w:rsidRPr="004029E5">
        <w:rPr>
          <w:rFonts w:cs="Calibri"/>
          <w:b/>
          <w:bCs/>
          <w:color w:val="000000" w:themeColor="text1"/>
          <w:sz w:val="24"/>
          <w:szCs w:val="24"/>
        </w:rPr>
        <w:tab/>
        <w:t xml:space="preserve">   </w:t>
      </w:r>
      <w:r w:rsidRPr="004029E5">
        <w:rPr>
          <w:rFonts w:cs="Calibri"/>
          <w:b/>
          <w:bCs/>
          <w:color w:val="000000" w:themeColor="text1"/>
          <w:sz w:val="24"/>
          <w:szCs w:val="24"/>
        </w:rPr>
        <w:tab/>
        <w:t xml:space="preserve">              z dnia </w:t>
      </w:r>
      <w:r w:rsidR="008520F3">
        <w:rPr>
          <w:rFonts w:cs="Calibri"/>
          <w:b/>
          <w:bCs/>
          <w:color w:val="000000" w:themeColor="text1"/>
          <w:sz w:val="24"/>
          <w:szCs w:val="24"/>
        </w:rPr>
        <w:t>13.04.2021 r.</w:t>
      </w:r>
    </w:p>
    <w:p w14:paraId="1C71B75F" w14:textId="77777777" w:rsidR="001A09F9" w:rsidRPr="004029E5" w:rsidRDefault="001A09F9" w:rsidP="0028490C">
      <w:pPr>
        <w:spacing w:line="240" w:lineRule="auto"/>
        <w:ind w:left="4956" w:firstLine="708"/>
        <w:jc w:val="both"/>
        <w:rPr>
          <w:rFonts w:eastAsia="Times New Roman" w:cs="Calibri"/>
          <w:b/>
          <w:bCs/>
          <w:color w:val="000000" w:themeColor="text1"/>
          <w:sz w:val="24"/>
          <w:szCs w:val="24"/>
        </w:rPr>
      </w:pPr>
    </w:p>
    <w:p w14:paraId="2DCFCD46" w14:textId="77777777" w:rsidR="001A09F9" w:rsidRPr="004029E5" w:rsidRDefault="001A09F9" w:rsidP="0028490C">
      <w:pPr>
        <w:spacing w:line="240" w:lineRule="auto"/>
        <w:ind w:left="4956" w:firstLine="708"/>
        <w:jc w:val="both"/>
        <w:rPr>
          <w:rFonts w:eastAsia="Times New Roman" w:cs="Calibri"/>
          <w:b/>
          <w:bCs/>
          <w:color w:val="000000" w:themeColor="text1"/>
          <w:sz w:val="24"/>
          <w:szCs w:val="24"/>
        </w:rPr>
      </w:pPr>
    </w:p>
    <w:p w14:paraId="7ADEFE65" w14:textId="77777777" w:rsidR="00D93E8C" w:rsidRDefault="00B17473" w:rsidP="00D634D6">
      <w:pPr>
        <w:spacing w:line="360" w:lineRule="auto"/>
        <w:ind w:firstLine="708"/>
        <w:jc w:val="both"/>
        <w:rPr>
          <w:rFonts w:cs="Calibri"/>
          <w:b/>
          <w:bCs/>
          <w:color w:val="000000" w:themeColor="text1"/>
          <w:sz w:val="24"/>
          <w:szCs w:val="24"/>
        </w:rPr>
      </w:pPr>
      <w:r w:rsidRPr="004029E5">
        <w:rPr>
          <w:rFonts w:eastAsia="Times New Roman" w:cs="Calibri"/>
          <w:b/>
          <w:bCs/>
          <w:color w:val="000000" w:themeColor="text1"/>
          <w:sz w:val="24"/>
          <w:szCs w:val="24"/>
        </w:rPr>
        <w:t xml:space="preserve">Załącznik nr </w:t>
      </w:r>
      <w:r w:rsidR="00D93E8C" w:rsidRPr="004029E5">
        <w:rPr>
          <w:rFonts w:eastAsia="Times New Roman" w:cs="Calibri"/>
          <w:b/>
          <w:bCs/>
          <w:color w:val="000000" w:themeColor="text1"/>
          <w:sz w:val="24"/>
          <w:szCs w:val="24"/>
        </w:rPr>
        <w:t xml:space="preserve"> </w:t>
      </w:r>
      <w:r w:rsidR="00B728F9" w:rsidRPr="004029E5">
        <w:rPr>
          <w:rFonts w:eastAsia="Times New Roman" w:cs="Calibri"/>
          <w:b/>
          <w:bCs/>
          <w:color w:val="000000" w:themeColor="text1"/>
          <w:sz w:val="24"/>
          <w:szCs w:val="24"/>
        </w:rPr>
        <w:t>7</w:t>
      </w:r>
      <w:r w:rsidR="001A09F9" w:rsidRPr="004029E5">
        <w:rPr>
          <w:rFonts w:eastAsia="Times New Roman" w:cs="Calibri"/>
          <w:b/>
          <w:bCs/>
          <w:color w:val="000000" w:themeColor="text1"/>
          <w:sz w:val="24"/>
          <w:szCs w:val="24"/>
        </w:rPr>
        <w:t xml:space="preserve"> </w:t>
      </w:r>
      <w:r w:rsidR="00D93E8C" w:rsidRPr="004029E5">
        <w:rPr>
          <w:rFonts w:cs="Calibri"/>
          <w:b/>
          <w:bCs/>
          <w:color w:val="000000" w:themeColor="text1"/>
          <w:sz w:val="24"/>
          <w:szCs w:val="24"/>
        </w:rPr>
        <w:t xml:space="preserve">do Zarządzenia nr  </w:t>
      </w:r>
      <w:r w:rsidR="001A09F9" w:rsidRPr="004029E5">
        <w:rPr>
          <w:rFonts w:cs="Calibri"/>
          <w:b/>
          <w:bCs/>
          <w:color w:val="000000" w:themeColor="text1"/>
          <w:sz w:val="24"/>
          <w:szCs w:val="24"/>
        </w:rPr>
        <w:t xml:space="preserve">205 </w:t>
      </w:r>
      <w:r w:rsidR="00D93E8C" w:rsidRPr="004029E5">
        <w:rPr>
          <w:rFonts w:cs="Calibri"/>
          <w:b/>
          <w:bCs/>
          <w:color w:val="000000" w:themeColor="text1"/>
          <w:sz w:val="24"/>
          <w:szCs w:val="24"/>
        </w:rPr>
        <w:t xml:space="preserve">Prezydenta Miasta Pruszkowa z dnia </w:t>
      </w:r>
      <w:r w:rsidR="001A09F9" w:rsidRPr="004029E5">
        <w:rPr>
          <w:rFonts w:cs="Calibri"/>
          <w:b/>
          <w:bCs/>
          <w:color w:val="000000" w:themeColor="text1"/>
          <w:sz w:val="24"/>
          <w:szCs w:val="24"/>
        </w:rPr>
        <w:t>24 września 2020 r.</w:t>
      </w:r>
    </w:p>
    <w:p w14:paraId="65CB7E3B" w14:textId="7460BF2C" w:rsidR="00676CEE" w:rsidRPr="00676CEE" w:rsidRDefault="00676CEE" w:rsidP="00D634D6">
      <w:pPr>
        <w:spacing w:line="360" w:lineRule="auto"/>
        <w:jc w:val="both"/>
        <w:rPr>
          <w:rFonts w:cs="Calibri"/>
          <w:b/>
          <w:bCs/>
          <w:color w:val="000000" w:themeColor="text1"/>
          <w:sz w:val="24"/>
          <w:szCs w:val="24"/>
        </w:rPr>
      </w:pPr>
      <w:r w:rsidRPr="00676CEE">
        <w:rPr>
          <w:b/>
          <w:sz w:val="24"/>
          <w:szCs w:val="24"/>
          <w:lang w:eastAsia="hi-IN"/>
        </w:rPr>
        <w:t xml:space="preserve">Procedura przeciwdziałania i zwalczania nadużyć finansowych i konfliktu interesów </w:t>
      </w:r>
      <w:r w:rsidR="00D634D6">
        <w:rPr>
          <w:b/>
          <w:sz w:val="24"/>
          <w:szCs w:val="24"/>
          <w:lang w:eastAsia="hi-IN"/>
        </w:rPr>
        <w:t xml:space="preserve">                  </w:t>
      </w:r>
      <w:r w:rsidRPr="00676CEE">
        <w:rPr>
          <w:b/>
          <w:sz w:val="24"/>
          <w:szCs w:val="24"/>
          <w:lang w:eastAsia="hi-IN"/>
        </w:rPr>
        <w:t>w  Jednostce realizującej projekt ,,Poprawa jakości środowiska poprzez kompleksowy rozwój terenów zielonych w Pruszkowie – etap II”</w:t>
      </w:r>
    </w:p>
    <w:p w14:paraId="41736F6C" w14:textId="04865808" w:rsidR="00F97CE1" w:rsidRPr="00CB5512" w:rsidRDefault="00F97CE1" w:rsidP="00D634D6">
      <w:pPr>
        <w:spacing w:line="360" w:lineRule="auto"/>
        <w:jc w:val="both"/>
        <w:rPr>
          <w:sz w:val="24"/>
          <w:szCs w:val="24"/>
        </w:rPr>
      </w:pPr>
    </w:p>
    <w:p w14:paraId="30EBDD8F" w14:textId="3A568D04" w:rsidR="00F97CE1" w:rsidRPr="00CB5512" w:rsidRDefault="00F97CE1" w:rsidP="00D634D6">
      <w:pPr>
        <w:pStyle w:val="Akapitzlist"/>
        <w:numPr>
          <w:ilvl w:val="0"/>
          <w:numId w:val="18"/>
        </w:numPr>
        <w:spacing w:line="360" w:lineRule="auto"/>
        <w:jc w:val="both"/>
        <w:rPr>
          <w:b/>
          <w:bCs/>
          <w:sz w:val="24"/>
          <w:szCs w:val="24"/>
        </w:rPr>
      </w:pPr>
      <w:r w:rsidRPr="00CB5512">
        <w:rPr>
          <w:b/>
          <w:bCs/>
          <w:sz w:val="24"/>
          <w:szCs w:val="24"/>
        </w:rPr>
        <w:t>Wprowadzenie</w:t>
      </w:r>
    </w:p>
    <w:p w14:paraId="2334EC75" w14:textId="6CDC453C" w:rsidR="00F97CE1" w:rsidRPr="00CB5512" w:rsidRDefault="00F97CE1" w:rsidP="00D634D6">
      <w:pPr>
        <w:spacing w:line="360" w:lineRule="auto"/>
        <w:jc w:val="both"/>
        <w:rPr>
          <w:sz w:val="24"/>
          <w:szCs w:val="24"/>
        </w:rPr>
      </w:pPr>
      <w:r w:rsidRPr="00CB5512">
        <w:rPr>
          <w:sz w:val="24"/>
          <w:szCs w:val="24"/>
        </w:rPr>
        <w:t xml:space="preserve">Pracownicy </w:t>
      </w:r>
      <w:r w:rsidR="001E72B0" w:rsidRPr="00CB5512">
        <w:rPr>
          <w:sz w:val="24"/>
          <w:szCs w:val="24"/>
        </w:rPr>
        <w:t xml:space="preserve">zaangażowani w realizację projektu pn. ,,Poprawa jakości środowiska poprzez kompleksowy rozwój terenów zielonych w Pruszkowie-etap II” </w:t>
      </w:r>
      <w:r w:rsidRPr="00CB5512">
        <w:rPr>
          <w:sz w:val="24"/>
          <w:szCs w:val="24"/>
        </w:rPr>
        <w:t xml:space="preserve"> zobowiązują się przestrzegać norm prawnych, etycznych i moralnych na najwyższym poziomie, </w:t>
      </w:r>
      <w:r w:rsidR="004029E5">
        <w:rPr>
          <w:sz w:val="24"/>
          <w:szCs w:val="24"/>
        </w:rPr>
        <w:t>zasad rzetelności, obiektywizmu</w:t>
      </w:r>
      <w:r w:rsidR="0028490C" w:rsidRPr="00CB5512">
        <w:rPr>
          <w:sz w:val="24"/>
          <w:szCs w:val="24"/>
        </w:rPr>
        <w:t xml:space="preserve">  </w:t>
      </w:r>
      <w:r w:rsidRPr="00CB5512">
        <w:rPr>
          <w:sz w:val="24"/>
          <w:szCs w:val="24"/>
        </w:rPr>
        <w:t>i uczciwości.</w:t>
      </w:r>
    </w:p>
    <w:p w14:paraId="3C446585" w14:textId="79085F08" w:rsidR="00E41290" w:rsidRDefault="00F97CE1" w:rsidP="00D634D6">
      <w:pPr>
        <w:shd w:val="clear" w:color="auto" w:fill="FFFFFF"/>
        <w:spacing w:line="360" w:lineRule="auto"/>
        <w:jc w:val="both"/>
        <w:rPr>
          <w:rFonts w:eastAsia="Times New Roman" w:cs="Times New Roman"/>
          <w:sz w:val="24"/>
          <w:szCs w:val="24"/>
          <w:lang w:eastAsia="pl-PL"/>
        </w:rPr>
      </w:pPr>
      <w:r w:rsidRPr="00CB5512">
        <w:rPr>
          <w:sz w:val="24"/>
          <w:szCs w:val="24"/>
        </w:rPr>
        <w:t xml:space="preserve">Przy ocenie nadużyć finansowych i korupcji uwzględnia się postanowienia art. 125 ust. 4 lit. c </w:t>
      </w:r>
      <w:r w:rsidR="00E41290" w:rsidRPr="00CB5512">
        <w:rPr>
          <w:sz w:val="24"/>
          <w:szCs w:val="24"/>
        </w:rPr>
        <w:t>r</w:t>
      </w:r>
      <w:r w:rsidR="00E41290" w:rsidRPr="00CB5512">
        <w:rPr>
          <w:rFonts w:eastAsia="Times New Roman" w:cs="Times New Roman"/>
          <w:sz w:val="24"/>
          <w:szCs w:val="24"/>
          <w:lang w:eastAsia="pl-PL"/>
        </w:rPr>
        <w:t xml:space="preserve">ozporządzenia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 UE. L. z 2013 r. Nr 347, str. 320 z </w:t>
      </w:r>
      <w:proofErr w:type="spellStart"/>
      <w:r w:rsidR="00E41290" w:rsidRPr="00CB5512">
        <w:rPr>
          <w:rFonts w:eastAsia="Times New Roman" w:cs="Times New Roman"/>
          <w:sz w:val="24"/>
          <w:szCs w:val="24"/>
          <w:lang w:eastAsia="pl-PL"/>
        </w:rPr>
        <w:t>późn</w:t>
      </w:r>
      <w:proofErr w:type="spellEnd"/>
      <w:r w:rsidR="00E41290" w:rsidRPr="00CB5512">
        <w:rPr>
          <w:rFonts w:eastAsia="Times New Roman" w:cs="Times New Roman"/>
          <w:sz w:val="24"/>
          <w:szCs w:val="24"/>
          <w:lang w:eastAsia="pl-PL"/>
        </w:rPr>
        <w:t>. zm.).</w:t>
      </w:r>
    </w:p>
    <w:p w14:paraId="3E92F2B8" w14:textId="77777777" w:rsidR="00D634D6" w:rsidRPr="00CB5512" w:rsidRDefault="00D634D6" w:rsidP="00D634D6">
      <w:pPr>
        <w:shd w:val="clear" w:color="auto" w:fill="FFFFFF"/>
        <w:spacing w:line="360" w:lineRule="auto"/>
        <w:jc w:val="both"/>
        <w:rPr>
          <w:rFonts w:eastAsia="Times New Roman" w:cs="Times New Roman"/>
          <w:sz w:val="24"/>
          <w:szCs w:val="24"/>
          <w:lang w:eastAsia="pl-PL"/>
        </w:rPr>
      </w:pPr>
    </w:p>
    <w:p w14:paraId="1A06E411" w14:textId="307A40A4" w:rsidR="00F97CE1" w:rsidRPr="00CB5512" w:rsidRDefault="00F97CE1" w:rsidP="00D634D6">
      <w:pPr>
        <w:pStyle w:val="Akapitzlist"/>
        <w:numPr>
          <w:ilvl w:val="0"/>
          <w:numId w:val="18"/>
        </w:numPr>
        <w:spacing w:line="360" w:lineRule="auto"/>
        <w:jc w:val="both"/>
        <w:rPr>
          <w:b/>
          <w:bCs/>
          <w:sz w:val="24"/>
          <w:szCs w:val="24"/>
        </w:rPr>
      </w:pPr>
      <w:r w:rsidRPr="00CB5512">
        <w:rPr>
          <w:b/>
          <w:bCs/>
          <w:sz w:val="24"/>
          <w:szCs w:val="24"/>
        </w:rPr>
        <w:lastRenderedPageBreak/>
        <w:t>Cel i zakres</w:t>
      </w:r>
    </w:p>
    <w:p w14:paraId="26F01169" w14:textId="275240AD" w:rsidR="00F97CE1" w:rsidRPr="00CB5512" w:rsidRDefault="00F97CE1" w:rsidP="00D634D6">
      <w:pPr>
        <w:spacing w:line="360" w:lineRule="auto"/>
        <w:jc w:val="both"/>
        <w:rPr>
          <w:sz w:val="24"/>
          <w:szCs w:val="24"/>
        </w:rPr>
      </w:pPr>
      <w:r w:rsidRPr="00CB5512">
        <w:rPr>
          <w:sz w:val="24"/>
          <w:szCs w:val="24"/>
        </w:rPr>
        <w:t xml:space="preserve">Celem </w:t>
      </w:r>
      <w:r w:rsidR="00706200">
        <w:rPr>
          <w:sz w:val="24"/>
          <w:szCs w:val="24"/>
        </w:rPr>
        <w:t>Procedury</w:t>
      </w:r>
      <w:r w:rsidRPr="00CB5512">
        <w:rPr>
          <w:sz w:val="24"/>
          <w:szCs w:val="24"/>
        </w:rPr>
        <w:t xml:space="preserve"> przeciwdziałania i zwalczania nadużyć finansowych i korupcji </w:t>
      </w:r>
      <w:r w:rsidR="001E72B0" w:rsidRPr="00CB5512">
        <w:rPr>
          <w:sz w:val="24"/>
          <w:szCs w:val="24"/>
        </w:rPr>
        <w:t>w Jednostce Realizującej Projekt</w:t>
      </w:r>
      <w:r w:rsidRPr="00CB5512">
        <w:rPr>
          <w:sz w:val="24"/>
          <w:szCs w:val="24"/>
        </w:rPr>
        <w:t xml:space="preserve"> jest promowanie kultury organizacyjnej ułatwiającej zapobieganie </w:t>
      </w:r>
      <w:r w:rsidR="004029E5">
        <w:rPr>
          <w:sz w:val="24"/>
          <w:szCs w:val="24"/>
        </w:rPr>
        <w:t xml:space="preserve">                  </w:t>
      </w:r>
      <w:r w:rsidRPr="00CB5512">
        <w:rPr>
          <w:sz w:val="24"/>
          <w:szCs w:val="24"/>
        </w:rPr>
        <w:t xml:space="preserve">i wykrywanie nadużyć finansowych oraz oszust, a także wdrożenie i rozwój procedur pomocnych w identyfikowaniu nadużyć finansowych oraz oszustw, a także wdrożenie i rozwój procedur pomocnych w identyfikowaniu nadużyć finansowych i przestępstw o charakterze korupcyjnym, zwiększenie świadomości problemu korupcji oraz promocja etycznych wzorców postępowania; minimalizowanie skutków </w:t>
      </w:r>
      <w:r w:rsidR="002145E4" w:rsidRPr="00CB5512">
        <w:rPr>
          <w:sz w:val="24"/>
          <w:szCs w:val="24"/>
        </w:rPr>
        <w:t>nadużyć finansowych; ochronę interesów finansowych budżetu UE oraz budżetu państwa (w sytuacji powzięcia informacji o podejrzeniu popełnienia nadużycia finansowego).</w:t>
      </w:r>
    </w:p>
    <w:p w14:paraId="0438013E" w14:textId="0D7ED8C6" w:rsidR="002145E4" w:rsidRPr="00CB5512" w:rsidRDefault="00706200" w:rsidP="00D634D6">
      <w:pPr>
        <w:spacing w:line="360" w:lineRule="auto"/>
        <w:jc w:val="both"/>
        <w:rPr>
          <w:sz w:val="24"/>
          <w:szCs w:val="24"/>
        </w:rPr>
      </w:pPr>
      <w:r>
        <w:rPr>
          <w:sz w:val="24"/>
          <w:szCs w:val="24"/>
        </w:rPr>
        <w:t>Na procedurę</w:t>
      </w:r>
      <w:r w:rsidR="002145E4" w:rsidRPr="00CB5512">
        <w:rPr>
          <w:sz w:val="24"/>
          <w:szCs w:val="24"/>
        </w:rPr>
        <w:t xml:space="preserve"> przeciwdziałania i zwalczania nadużyć finansowych i korupcji w </w:t>
      </w:r>
      <w:r w:rsidR="001E72B0" w:rsidRPr="00CB5512">
        <w:rPr>
          <w:sz w:val="24"/>
          <w:szCs w:val="24"/>
        </w:rPr>
        <w:t>Jednostce Realizującej Projekt</w:t>
      </w:r>
      <w:r w:rsidR="002145E4" w:rsidRPr="00CB5512">
        <w:rPr>
          <w:sz w:val="24"/>
          <w:szCs w:val="24"/>
        </w:rPr>
        <w:t xml:space="preserve"> składają się następujące elementy:</w:t>
      </w:r>
    </w:p>
    <w:p w14:paraId="685C2CAC" w14:textId="407D6B3F" w:rsidR="0054164A" w:rsidRPr="00CB5512" w:rsidRDefault="002145E4" w:rsidP="00D634D6">
      <w:pPr>
        <w:pStyle w:val="Akapitzlist"/>
        <w:numPr>
          <w:ilvl w:val="0"/>
          <w:numId w:val="2"/>
        </w:numPr>
        <w:spacing w:line="360" w:lineRule="auto"/>
        <w:jc w:val="both"/>
        <w:rPr>
          <w:sz w:val="24"/>
          <w:szCs w:val="24"/>
        </w:rPr>
      </w:pPr>
      <w:r w:rsidRPr="00CB5512">
        <w:rPr>
          <w:sz w:val="24"/>
          <w:szCs w:val="24"/>
        </w:rPr>
        <w:t xml:space="preserve">Zapobieganie nadużyciom finansowym, </w:t>
      </w:r>
    </w:p>
    <w:p w14:paraId="7B5DB59A" w14:textId="424E9950" w:rsidR="00667534" w:rsidRPr="004029E5" w:rsidRDefault="00667534" w:rsidP="00D634D6">
      <w:pPr>
        <w:pStyle w:val="Akapitzlist"/>
        <w:numPr>
          <w:ilvl w:val="0"/>
          <w:numId w:val="2"/>
        </w:numPr>
        <w:spacing w:line="360" w:lineRule="auto"/>
        <w:jc w:val="both"/>
        <w:rPr>
          <w:sz w:val="24"/>
          <w:szCs w:val="24"/>
        </w:rPr>
      </w:pPr>
      <w:r w:rsidRPr="00CB5512">
        <w:rPr>
          <w:sz w:val="24"/>
          <w:szCs w:val="24"/>
        </w:rPr>
        <w:t>Podział obowiązków w zakresie przeciwdziałania i zwalczania nadużyć finansowych;</w:t>
      </w:r>
    </w:p>
    <w:p w14:paraId="21D89681" w14:textId="163C46A4" w:rsidR="00667534" w:rsidRPr="004029E5" w:rsidRDefault="00667534" w:rsidP="00D634D6">
      <w:pPr>
        <w:pStyle w:val="Akapitzlist"/>
        <w:numPr>
          <w:ilvl w:val="0"/>
          <w:numId w:val="2"/>
        </w:numPr>
        <w:spacing w:line="360" w:lineRule="auto"/>
        <w:jc w:val="both"/>
        <w:rPr>
          <w:sz w:val="24"/>
          <w:szCs w:val="24"/>
        </w:rPr>
      </w:pPr>
      <w:r w:rsidRPr="00CB5512">
        <w:rPr>
          <w:sz w:val="24"/>
          <w:szCs w:val="24"/>
        </w:rPr>
        <w:t>Wykrywanie i korygowanie nadużyć finansowych;</w:t>
      </w:r>
    </w:p>
    <w:p w14:paraId="18C6E8AB" w14:textId="423B15D7" w:rsidR="00667534" w:rsidRPr="00CB5512" w:rsidRDefault="00667534" w:rsidP="00D634D6">
      <w:pPr>
        <w:pStyle w:val="Akapitzlist"/>
        <w:numPr>
          <w:ilvl w:val="0"/>
          <w:numId w:val="2"/>
        </w:numPr>
        <w:spacing w:line="360" w:lineRule="auto"/>
        <w:jc w:val="both"/>
        <w:rPr>
          <w:sz w:val="24"/>
          <w:szCs w:val="24"/>
        </w:rPr>
      </w:pPr>
      <w:r w:rsidRPr="00CB5512">
        <w:rPr>
          <w:sz w:val="24"/>
          <w:szCs w:val="24"/>
        </w:rPr>
        <w:t>Postępowanie w przypadku zidentyfikowania podejrzeń nadużyć finansowych oraz ich raportowanie i korygowanie.</w:t>
      </w:r>
    </w:p>
    <w:p w14:paraId="75E0B53D" w14:textId="77777777" w:rsidR="00667534" w:rsidRPr="00CB5512" w:rsidRDefault="00667534" w:rsidP="00D634D6">
      <w:pPr>
        <w:pStyle w:val="Akapitzlist"/>
        <w:spacing w:line="360" w:lineRule="auto"/>
        <w:jc w:val="both"/>
        <w:rPr>
          <w:sz w:val="24"/>
          <w:szCs w:val="24"/>
        </w:rPr>
      </w:pPr>
    </w:p>
    <w:p w14:paraId="6FC1B8F0" w14:textId="19D9A1FE" w:rsidR="00667534" w:rsidRPr="00CB5512" w:rsidRDefault="00667534" w:rsidP="00D634D6">
      <w:pPr>
        <w:pStyle w:val="Akapitzlist"/>
        <w:numPr>
          <w:ilvl w:val="0"/>
          <w:numId w:val="18"/>
        </w:numPr>
        <w:spacing w:line="360" w:lineRule="auto"/>
        <w:jc w:val="both"/>
        <w:rPr>
          <w:b/>
          <w:bCs/>
          <w:sz w:val="24"/>
          <w:szCs w:val="24"/>
        </w:rPr>
      </w:pPr>
      <w:r w:rsidRPr="00CB5512">
        <w:rPr>
          <w:b/>
          <w:bCs/>
          <w:sz w:val="24"/>
          <w:szCs w:val="24"/>
        </w:rPr>
        <w:t>Definicje</w:t>
      </w:r>
    </w:p>
    <w:p w14:paraId="4D285893" w14:textId="44DAF292" w:rsidR="00667534" w:rsidRPr="00CB5512" w:rsidRDefault="00667534" w:rsidP="00D634D6">
      <w:pPr>
        <w:spacing w:line="360" w:lineRule="auto"/>
        <w:jc w:val="both"/>
        <w:rPr>
          <w:sz w:val="24"/>
          <w:szCs w:val="24"/>
        </w:rPr>
      </w:pPr>
      <w:r w:rsidRPr="00CB5512">
        <w:rPr>
          <w:sz w:val="24"/>
          <w:szCs w:val="24"/>
        </w:rPr>
        <w:t>Na potrzeby niniejszego dokumentu wybrano następujące definicje:</w:t>
      </w:r>
    </w:p>
    <w:p w14:paraId="56D074AE" w14:textId="77777777" w:rsidR="004029E5" w:rsidRDefault="00A11848" w:rsidP="00D634D6">
      <w:pPr>
        <w:shd w:val="clear" w:color="auto" w:fill="FFFFFF"/>
        <w:spacing w:line="360" w:lineRule="auto"/>
        <w:jc w:val="both"/>
        <w:rPr>
          <w:sz w:val="24"/>
          <w:szCs w:val="24"/>
        </w:rPr>
      </w:pPr>
      <w:r w:rsidRPr="00CB5512">
        <w:rPr>
          <w:b/>
          <w:bCs/>
          <w:sz w:val="24"/>
          <w:szCs w:val="24"/>
        </w:rPr>
        <w:t xml:space="preserve">1. </w:t>
      </w:r>
      <w:r w:rsidR="00667534" w:rsidRPr="00CB5512">
        <w:rPr>
          <w:b/>
          <w:bCs/>
          <w:sz w:val="24"/>
          <w:szCs w:val="24"/>
        </w:rPr>
        <w:t xml:space="preserve">Nieprawidłowości </w:t>
      </w:r>
      <w:r w:rsidR="00667534" w:rsidRPr="00CB5512">
        <w:rPr>
          <w:sz w:val="24"/>
          <w:szCs w:val="24"/>
        </w:rPr>
        <w:t>– zgodnie z art. 2 pkt 36 rozporządzenia ogólnego oznacza</w:t>
      </w:r>
      <w:r w:rsidR="00E50E08" w:rsidRPr="00CB5512">
        <w:rPr>
          <w:sz w:val="24"/>
          <w:szCs w:val="24"/>
        </w:rPr>
        <w:t>ją</w:t>
      </w:r>
      <w:r w:rsidR="00667534" w:rsidRPr="00CB5512">
        <w:rPr>
          <w:sz w:val="24"/>
          <w:szCs w:val="24"/>
        </w:rPr>
        <w:t xml:space="preserve"> każde naruszenie prawa unijnego lub prawa krajowego dotyczącego stosowania</w:t>
      </w:r>
      <w:r w:rsidR="004433AB" w:rsidRPr="00CB5512">
        <w:rPr>
          <w:sz w:val="24"/>
          <w:szCs w:val="24"/>
        </w:rPr>
        <w:t xml:space="preserve"> prawa unijnego, wynikające z działania lub zaniechania podmiotu gospodarczego zaangażowanego we wdrażanie EFSI, które ma lub może mieć szkodliwy wpływ na budż</w:t>
      </w:r>
      <w:r w:rsidR="004029E5">
        <w:rPr>
          <w:sz w:val="24"/>
          <w:szCs w:val="24"/>
        </w:rPr>
        <w:t xml:space="preserve">et Unii poprzez jego obciążenie </w:t>
      </w:r>
      <w:r w:rsidR="004433AB" w:rsidRPr="00CB5512">
        <w:rPr>
          <w:sz w:val="24"/>
          <w:szCs w:val="24"/>
        </w:rPr>
        <w:t>nieuzasadnionym wydatkiem;</w:t>
      </w:r>
      <w:r w:rsidR="004029E5">
        <w:rPr>
          <w:sz w:val="24"/>
          <w:szCs w:val="24"/>
        </w:rPr>
        <w:t xml:space="preserve">   </w:t>
      </w:r>
    </w:p>
    <w:p w14:paraId="267660E0" w14:textId="77777777" w:rsidR="00D634D6" w:rsidRDefault="00D634D6" w:rsidP="00D634D6">
      <w:pPr>
        <w:shd w:val="clear" w:color="auto" w:fill="FFFFFF"/>
        <w:spacing w:line="360" w:lineRule="auto"/>
        <w:jc w:val="both"/>
        <w:rPr>
          <w:sz w:val="24"/>
          <w:szCs w:val="24"/>
        </w:rPr>
      </w:pPr>
    </w:p>
    <w:p w14:paraId="1E98A003" w14:textId="537A509C" w:rsidR="00667534" w:rsidRPr="00CB5512" w:rsidRDefault="004433AB" w:rsidP="00D634D6">
      <w:pPr>
        <w:shd w:val="clear" w:color="auto" w:fill="FFFFFF"/>
        <w:spacing w:line="360" w:lineRule="auto"/>
        <w:jc w:val="both"/>
        <w:rPr>
          <w:sz w:val="24"/>
          <w:szCs w:val="24"/>
        </w:rPr>
      </w:pPr>
      <w:r w:rsidRPr="00CB5512">
        <w:rPr>
          <w:sz w:val="24"/>
          <w:szCs w:val="24"/>
        </w:rPr>
        <w:lastRenderedPageBreak/>
        <w:br/>
      </w:r>
      <w:r w:rsidR="00A11848" w:rsidRPr="00CB5512">
        <w:rPr>
          <w:b/>
          <w:bCs/>
          <w:sz w:val="24"/>
          <w:szCs w:val="24"/>
        </w:rPr>
        <w:t xml:space="preserve">2. </w:t>
      </w:r>
      <w:r w:rsidRPr="00CB5512">
        <w:rPr>
          <w:b/>
          <w:bCs/>
          <w:sz w:val="24"/>
          <w:szCs w:val="24"/>
        </w:rPr>
        <w:t>Nadużycie finansowe</w:t>
      </w:r>
      <w:r w:rsidRPr="00CB5512">
        <w:rPr>
          <w:sz w:val="24"/>
          <w:szCs w:val="24"/>
        </w:rPr>
        <w:t xml:space="preserve"> – które zgodnie z art. 1 </w:t>
      </w:r>
      <w:r w:rsidR="00E41290" w:rsidRPr="00CB5512">
        <w:rPr>
          <w:sz w:val="24"/>
          <w:szCs w:val="24"/>
        </w:rPr>
        <w:t xml:space="preserve">ust. 1 </w:t>
      </w:r>
      <w:r w:rsidR="00E41290" w:rsidRPr="00CB5512">
        <w:rPr>
          <w:rFonts w:eastAsia="Times New Roman" w:cs="Times New Roman"/>
          <w:sz w:val="24"/>
          <w:szCs w:val="24"/>
          <w:lang w:eastAsia="pl-PL"/>
        </w:rPr>
        <w:t xml:space="preserve">Konwencji o ochronie interesów finansowych Wspólnot Europejskich, sporządzona w Brukseli dnia 26 lipca 1995 r. wraz </w:t>
      </w:r>
      <w:r w:rsidR="001B7936">
        <w:rPr>
          <w:rFonts w:eastAsia="Times New Roman" w:cs="Times New Roman"/>
          <w:sz w:val="24"/>
          <w:szCs w:val="24"/>
          <w:lang w:eastAsia="pl-PL"/>
        </w:rPr>
        <w:t xml:space="preserve">                 </w:t>
      </w:r>
      <w:r w:rsidR="00E41290" w:rsidRPr="00CB5512">
        <w:rPr>
          <w:rFonts w:eastAsia="Times New Roman" w:cs="Times New Roman"/>
          <w:sz w:val="24"/>
          <w:szCs w:val="24"/>
          <w:lang w:eastAsia="pl-PL"/>
        </w:rPr>
        <w:t>z Protokołami do Konwencji (Dz. U. z 2009 r. Nr 208, poz. 1603)</w:t>
      </w:r>
      <w:r w:rsidR="00521184" w:rsidRPr="00CB5512">
        <w:rPr>
          <w:rFonts w:eastAsia="Times New Roman" w:cs="Times New Roman"/>
          <w:sz w:val="24"/>
          <w:szCs w:val="24"/>
          <w:lang w:eastAsia="pl-PL"/>
        </w:rPr>
        <w:t xml:space="preserve"> </w:t>
      </w:r>
      <w:r w:rsidRPr="00CB5512">
        <w:rPr>
          <w:sz w:val="24"/>
          <w:szCs w:val="24"/>
        </w:rPr>
        <w:t>oznacza jakiekolwiek celowe działanie lub zaniechanie naruszające interesy finansowe Wspólnot Europejskich, polegające na:</w:t>
      </w:r>
    </w:p>
    <w:p w14:paraId="054649ED" w14:textId="151FBC8A" w:rsidR="00A11848" w:rsidRPr="00CB5512" w:rsidRDefault="00A11848" w:rsidP="00D634D6">
      <w:pPr>
        <w:spacing w:line="360" w:lineRule="auto"/>
        <w:jc w:val="both"/>
        <w:rPr>
          <w:sz w:val="24"/>
          <w:szCs w:val="24"/>
        </w:rPr>
      </w:pPr>
      <w:r w:rsidRPr="00CB5512">
        <w:rPr>
          <w:sz w:val="24"/>
          <w:szCs w:val="24"/>
        </w:rPr>
        <w:t>a)w odniesieniu do wydatków</w:t>
      </w:r>
    </w:p>
    <w:p w14:paraId="1BB1FCBC" w14:textId="64F9F128" w:rsidR="004433AB" w:rsidRPr="00CB5512" w:rsidRDefault="0054164A" w:rsidP="00D634D6">
      <w:pPr>
        <w:pStyle w:val="Akapitzlist"/>
        <w:numPr>
          <w:ilvl w:val="0"/>
          <w:numId w:val="23"/>
        </w:numPr>
        <w:spacing w:line="360" w:lineRule="auto"/>
        <w:jc w:val="both"/>
        <w:rPr>
          <w:sz w:val="24"/>
          <w:szCs w:val="24"/>
        </w:rPr>
      </w:pPr>
      <w:r w:rsidRPr="00CB5512">
        <w:rPr>
          <w:sz w:val="24"/>
          <w:szCs w:val="24"/>
        </w:rPr>
        <w:t>w</w:t>
      </w:r>
      <w:r w:rsidR="004433AB" w:rsidRPr="00CB5512">
        <w:rPr>
          <w:sz w:val="24"/>
          <w:szCs w:val="24"/>
        </w:rPr>
        <w:t>ykorzystaniu lub przedstawieniu nieprawdziwych, niepoprawnych lub niepełnych oświadczeń lub dokumentów, które ma na celu sprzeniewierzenie lub bezprawne zatrzymanie środków z budżetu ogólnego Wspólnot Europejskich lub budżetów zarządzanych przez wspólnoty Europejskie lub w ich imieniu,</w:t>
      </w:r>
    </w:p>
    <w:p w14:paraId="26EBA92F" w14:textId="57DF5564" w:rsidR="004433AB" w:rsidRPr="00CB5512" w:rsidRDefault="0054164A" w:rsidP="00D634D6">
      <w:pPr>
        <w:pStyle w:val="Akapitzlist"/>
        <w:numPr>
          <w:ilvl w:val="0"/>
          <w:numId w:val="23"/>
        </w:numPr>
        <w:spacing w:line="360" w:lineRule="auto"/>
        <w:jc w:val="both"/>
        <w:rPr>
          <w:sz w:val="24"/>
          <w:szCs w:val="24"/>
        </w:rPr>
      </w:pPr>
      <w:r w:rsidRPr="00CB5512">
        <w:rPr>
          <w:sz w:val="24"/>
          <w:szCs w:val="24"/>
        </w:rPr>
        <w:t>ni</w:t>
      </w:r>
      <w:r w:rsidR="004433AB" w:rsidRPr="00CB5512">
        <w:rPr>
          <w:sz w:val="24"/>
          <w:szCs w:val="24"/>
        </w:rPr>
        <w:t>eujawnieniu informacji z naruszeniem szczególnego obowiązku, w tym samym celu,</w:t>
      </w:r>
    </w:p>
    <w:p w14:paraId="5B17BCEE" w14:textId="5E0BBE34" w:rsidR="004433AB" w:rsidRPr="00CB5512" w:rsidRDefault="0054164A" w:rsidP="00D634D6">
      <w:pPr>
        <w:pStyle w:val="Akapitzlist"/>
        <w:numPr>
          <w:ilvl w:val="0"/>
          <w:numId w:val="23"/>
        </w:numPr>
        <w:spacing w:line="360" w:lineRule="auto"/>
        <w:jc w:val="both"/>
        <w:rPr>
          <w:sz w:val="24"/>
          <w:szCs w:val="24"/>
        </w:rPr>
      </w:pPr>
      <w:r w:rsidRPr="00CB5512">
        <w:rPr>
          <w:sz w:val="24"/>
          <w:szCs w:val="24"/>
        </w:rPr>
        <w:t>niewłaściwym wykorzystaniu takich środków do celów innych niż te, na które zostały pierwotnie przyznane;</w:t>
      </w:r>
    </w:p>
    <w:p w14:paraId="42AC5526" w14:textId="7D90AD28" w:rsidR="0054164A" w:rsidRPr="00CB5512" w:rsidRDefault="00A11848" w:rsidP="00D634D6">
      <w:pPr>
        <w:spacing w:line="360" w:lineRule="auto"/>
        <w:jc w:val="both"/>
        <w:rPr>
          <w:sz w:val="24"/>
          <w:szCs w:val="24"/>
        </w:rPr>
      </w:pPr>
      <w:r w:rsidRPr="00CB5512">
        <w:rPr>
          <w:sz w:val="24"/>
          <w:szCs w:val="24"/>
        </w:rPr>
        <w:t xml:space="preserve">b) </w:t>
      </w:r>
      <w:r w:rsidR="0054164A" w:rsidRPr="00CB5512">
        <w:rPr>
          <w:sz w:val="24"/>
          <w:szCs w:val="24"/>
        </w:rPr>
        <w:t>w odniesieniu do przychodów, jakimkolwiek umyślnym działaniu lub zaniechaniu dotyczącym:</w:t>
      </w:r>
    </w:p>
    <w:p w14:paraId="12A3B7D0" w14:textId="16734844" w:rsidR="0054164A" w:rsidRPr="00CB5512" w:rsidRDefault="0054164A" w:rsidP="00D634D6">
      <w:pPr>
        <w:pStyle w:val="Akapitzlist"/>
        <w:numPr>
          <w:ilvl w:val="0"/>
          <w:numId w:val="24"/>
        </w:numPr>
        <w:spacing w:line="360" w:lineRule="auto"/>
        <w:jc w:val="both"/>
        <w:rPr>
          <w:sz w:val="24"/>
          <w:szCs w:val="24"/>
        </w:rPr>
      </w:pPr>
      <w:r w:rsidRPr="00CB5512">
        <w:rPr>
          <w:sz w:val="24"/>
          <w:szCs w:val="24"/>
        </w:rPr>
        <w:t xml:space="preserve">wykorzystania lub przedstawienia fałszywych, nieścisłych lub niekompletnych oświadczeń lub dokumentów, które ma na celu bezprawne zmniejszenie środków budżetu ogólnego Wspólnot Europejskich lub budżetów zarządzanych przez lub </w:t>
      </w:r>
      <w:r w:rsidR="001B7936">
        <w:rPr>
          <w:sz w:val="24"/>
          <w:szCs w:val="24"/>
        </w:rPr>
        <w:t xml:space="preserve">              </w:t>
      </w:r>
      <w:r w:rsidRPr="00CB5512">
        <w:rPr>
          <w:sz w:val="24"/>
          <w:szCs w:val="24"/>
        </w:rPr>
        <w:t>w imieniu Wspólnot Europejskich,</w:t>
      </w:r>
    </w:p>
    <w:p w14:paraId="1F75075D" w14:textId="7CFCEBC9" w:rsidR="0054164A" w:rsidRPr="00CB5512" w:rsidRDefault="0054164A" w:rsidP="00D634D6">
      <w:pPr>
        <w:pStyle w:val="Akapitzlist"/>
        <w:numPr>
          <w:ilvl w:val="0"/>
          <w:numId w:val="24"/>
        </w:numPr>
        <w:spacing w:line="360" w:lineRule="auto"/>
        <w:jc w:val="both"/>
        <w:rPr>
          <w:sz w:val="24"/>
          <w:szCs w:val="24"/>
        </w:rPr>
      </w:pPr>
      <w:r w:rsidRPr="00CB5512">
        <w:rPr>
          <w:sz w:val="24"/>
          <w:szCs w:val="24"/>
        </w:rPr>
        <w:t>nieujawnienia informacji z naruszeniem szczególnego obowiązku, w tym samym celu,</w:t>
      </w:r>
    </w:p>
    <w:p w14:paraId="2258499E" w14:textId="3965F64F" w:rsidR="0054164A" w:rsidRPr="00CB5512" w:rsidRDefault="0054164A" w:rsidP="00D634D6">
      <w:pPr>
        <w:pStyle w:val="Akapitzlist"/>
        <w:numPr>
          <w:ilvl w:val="0"/>
          <w:numId w:val="24"/>
        </w:numPr>
        <w:spacing w:line="360" w:lineRule="auto"/>
        <w:jc w:val="both"/>
        <w:rPr>
          <w:sz w:val="24"/>
          <w:szCs w:val="24"/>
        </w:rPr>
      </w:pPr>
      <w:r w:rsidRPr="00CB5512">
        <w:rPr>
          <w:sz w:val="24"/>
          <w:szCs w:val="24"/>
        </w:rPr>
        <w:t>niewłaściwego wykorzystania korzyści uzyskanej zgodnie z prawem, w tym samym celu.</w:t>
      </w:r>
    </w:p>
    <w:p w14:paraId="3FFB71B4" w14:textId="2964BA8F" w:rsidR="0054164A" w:rsidRPr="00CB5512" w:rsidRDefault="00A11848" w:rsidP="00D634D6">
      <w:pPr>
        <w:shd w:val="clear" w:color="auto" w:fill="FFFFFF"/>
        <w:spacing w:line="360" w:lineRule="auto"/>
        <w:jc w:val="both"/>
        <w:rPr>
          <w:rFonts w:eastAsia="Times New Roman" w:cs="Times New Roman"/>
          <w:sz w:val="24"/>
          <w:szCs w:val="24"/>
          <w:lang w:eastAsia="pl-PL"/>
        </w:rPr>
      </w:pPr>
      <w:r w:rsidRPr="00CB5512">
        <w:rPr>
          <w:b/>
          <w:bCs/>
          <w:sz w:val="24"/>
          <w:szCs w:val="24"/>
        </w:rPr>
        <w:t xml:space="preserve">3. </w:t>
      </w:r>
      <w:r w:rsidR="0054164A" w:rsidRPr="00CB5512">
        <w:rPr>
          <w:b/>
          <w:bCs/>
          <w:sz w:val="24"/>
          <w:szCs w:val="24"/>
        </w:rPr>
        <w:t>Podejrzenie popełnienia nadużycia finansowego</w:t>
      </w:r>
      <w:r w:rsidR="0054164A" w:rsidRPr="00CB5512">
        <w:rPr>
          <w:sz w:val="24"/>
          <w:szCs w:val="24"/>
        </w:rPr>
        <w:t xml:space="preserve"> w rozumieniu</w:t>
      </w:r>
      <w:r w:rsidR="00E41290" w:rsidRPr="00CB5512">
        <w:rPr>
          <w:sz w:val="24"/>
          <w:szCs w:val="24"/>
        </w:rPr>
        <w:t xml:space="preserve"> art. 27 c  </w:t>
      </w:r>
      <w:r w:rsidR="00E41290" w:rsidRPr="00CB5512">
        <w:rPr>
          <w:rFonts w:eastAsia="Times New Roman" w:cs="Times New Roman"/>
          <w:sz w:val="24"/>
          <w:szCs w:val="24"/>
          <w:lang w:eastAsia="pl-PL"/>
        </w:rPr>
        <w:t xml:space="preserve">rozporządzenia Komisji (WE) nr 1828/2006 z dnia 8 grudnia 2006 r. ustanawiające szczegółowe zasady wykonania rozporządzenia Rady (WE) nr 1083/2006 ustanawiającego przepisy ogólne dotyczące Europejskiego Funduszu Rozwoju Regionalnego, Europejskiego Funduszu Społecznego oraz Funduszu Spójności oraz rozporządzenia (WE) nr 1080/2006 Parlamentu </w:t>
      </w:r>
      <w:r w:rsidR="00E41290" w:rsidRPr="00CB5512">
        <w:rPr>
          <w:rFonts w:eastAsia="Times New Roman" w:cs="Times New Roman"/>
          <w:sz w:val="24"/>
          <w:szCs w:val="24"/>
          <w:lang w:eastAsia="pl-PL"/>
        </w:rPr>
        <w:lastRenderedPageBreak/>
        <w:t xml:space="preserve">Europejskiego i Rady w sprawie Europejskiego Funduszu Rozwoju Regionalnego (Dz. U. UE. L. z 2006 r. Nr 371, str. 1 z </w:t>
      </w:r>
      <w:proofErr w:type="spellStart"/>
      <w:r w:rsidR="00E41290" w:rsidRPr="00CB5512">
        <w:rPr>
          <w:rFonts w:eastAsia="Times New Roman" w:cs="Times New Roman"/>
          <w:sz w:val="24"/>
          <w:szCs w:val="24"/>
          <w:lang w:eastAsia="pl-PL"/>
        </w:rPr>
        <w:t>późn</w:t>
      </w:r>
      <w:proofErr w:type="spellEnd"/>
      <w:r w:rsidR="00E41290" w:rsidRPr="00CB5512">
        <w:rPr>
          <w:rFonts w:eastAsia="Times New Roman" w:cs="Times New Roman"/>
          <w:sz w:val="24"/>
          <w:szCs w:val="24"/>
          <w:lang w:eastAsia="pl-PL"/>
        </w:rPr>
        <w:t>. zm.)</w:t>
      </w:r>
      <w:r w:rsidR="00521184" w:rsidRPr="00CB5512">
        <w:rPr>
          <w:rFonts w:eastAsia="Times New Roman" w:cs="Times New Roman"/>
          <w:sz w:val="24"/>
          <w:szCs w:val="24"/>
          <w:lang w:eastAsia="pl-PL"/>
        </w:rPr>
        <w:t xml:space="preserve"> </w:t>
      </w:r>
      <w:r w:rsidR="00521184" w:rsidRPr="00CB5512">
        <w:rPr>
          <w:rStyle w:val="text-justify"/>
          <w:sz w:val="24"/>
          <w:szCs w:val="24"/>
        </w:rPr>
        <w:t xml:space="preserve">oznacza nieprawidłowość, która prowadzi do wszczęcia postępowania administracyjnego lub sądowego na poziomie krajowym w celu stwierdzenia zamierzonego działania, w szczególności nadużycia określonego w ust. 1 lit. a) </w:t>
      </w:r>
      <w:hyperlink r:id="rId8" w:anchor="/document/67428100?cm=DOCUMENT" w:history="1">
        <w:r w:rsidR="00521184" w:rsidRPr="001B7936">
          <w:rPr>
            <w:rStyle w:val="Hipercze"/>
            <w:color w:val="000000" w:themeColor="text1"/>
            <w:sz w:val="24"/>
            <w:szCs w:val="24"/>
          </w:rPr>
          <w:t>Konwencji</w:t>
        </w:r>
      </w:hyperlink>
      <w:r w:rsidR="00521184" w:rsidRPr="001B7936">
        <w:rPr>
          <w:rStyle w:val="text-justify"/>
          <w:color w:val="000000" w:themeColor="text1"/>
          <w:sz w:val="24"/>
          <w:szCs w:val="24"/>
        </w:rPr>
        <w:t xml:space="preserve"> </w:t>
      </w:r>
      <w:r w:rsidR="00521184" w:rsidRPr="00CB5512">
        <w:rPr>
          <w:rStyle w:val="text-justify"/>
          <w:sz w:val="24"/>
          <w:szCs w:val="24"/>
        </w:rPr>
        <w:t>sporządzonej na mocy art. K.3 Traktatu o Unii Europejskiej w sprawie ochrony interesów finansowych Wspólnot Europejskich</w:t>
      </w:r>
      <w:r w:rsidR="00E41290" w:rsidRPr="00CB5512">
        <w:rPr>
          <w:sz w:val="24"/>
          <w:szCs w:val="24"/>
        </w:rPr>
        <w:t xml:space="preserve"> </w:t>
      </w:r>
      <w:r w:rsidR="0054164A" w:rsidRPr="00CB5512">
        <w:rPr>
          <w:sz w:val="24"/>
          <w:szCs w:val="24"/>
        </w:rPr>
        <w:t>;</w:t>
      </w:r>
    </w:p>
    <w:p w14:paraId="70FBA3A9" w14:textId="1855BA79" w:rsidR="0054164A" w:rsidRPr="00CB5512" w:rsidRDefault="00A11848" w:rsidP="00D634D6">
      <w:pPr>
        <w:shd w:val="clear" w:color="auto" w:fill="FFFFFF"/>
        <w:spacing w:line="360" w:lineRule="auto"/>
        <w:jc w:val="both"/>
        <w:rPr>
          <w:rFonts w:eastAsia="Times New Roman" w:cs="Times New Roman"/>
          <w:sz w:val="24"/>
          <w:szCs w:val="24"/>
          <w:lang w:eastAsia="pl-PL"/>
        </w:rPr>
      </w:pPr>
      <w:r w:rsidRPr="00CB5512">
        <w:rPr>
          <w:b/>
          <w:bCs/>
          <w:sz w:val="24"/>
          <w:szCs w:val="24"/>
        </w:rPr>
        <w:t>4. K</w:t>
      </w:r>
      <w:r w:rsidR="0054164A" w:rsidRPr="00CB5512">
        <w:rPr>
          <w:b/>
          <w:bCs/>
          <w:sz w:val="24"/>
          <w:szCs w:val="24"/>
        </w:rPr>
        <w:t>orupcja</w:t>
      </w:r>
      <w:r w:rsidR="0054164A" w:rsidRPr="00CB5512">
        <w:rPr>
          <w:sz w:val="24"/>
          <w:szCs w:val="24"/>
        </w:rPr>
        <w:t xml:space="preserve"> – zgodnie z art. 1 ust. 3a ustawy </w:t>
      </w:r>
      <w:r w:rsidR="00521184" w:rsidRPr="00CB5512">
        <w:rPr>
          <w:rFonts w:eastAsia="Times New Roman" w:cs="Times New Roman"/>
          <w:sz w:val="24"/>
          <w:szCs w:val="24"/>
          <w:lang w:eastAsia="pl-PL"/>
        </w:rPr>
        <w:t>z dnia 9 czerwca 2006 r. o Centralnym Biurze Antykorupcyjnym (</w:t>
      </w:r>
      <w:proofErr w:type="spellStart"/>
      <w:r w:rsidR="00521184" w:rsidRPr="00CB5512">
        <w:rPr>
          <w:rFonts w:eastAsia="Times New Roman" w:cs="Times New Roman"/>
          <w:sz w:val="24"/>
          <w:szCs w:val="24"/>
          <w:lang w:eastAsia="pl-PL"/>
        </w:rPr>
        <w:t>t.j</w:t>
      </w:r>
      <w:proofErr w:type="spellEnd"/>
      <w:r w:rsidR="00521184" w:rsidRPr="00CB5512">
        <w:rPr>
          <w:rFonts w:eastAsia="Times New Roman" w:cs="Times New Roman"/>
          <w:sz w:val="24"/>
          <w:szCs w:val="24"/>
          <w:lang w:eastAsia="pl-PL"/>
        </w:rPr>
        <w:t xml:space="preserve">. Dz. U. z 2019 r. poz. 1921 z </w:t>
      </w:r>
      <w:proofErr w:type="spellStart"/>
      <w:r w:rsidR="00521184" w:rsidRPr="00CB5512">
        <w:rPr>
          <w:rFonts w:eastAsia="Times New Roman" w:cs="Times New Roman"/>
          <w:sz w:val="24"/>
          <w:szCs w:val="24"/>
          <w:lang w:eastAsia="pl-PL"/>
        </w:rPr>
        <w:t>późn</w:t>
      </w:r>
      <w:proofErr w:type="spellEnd"/>
      <w:r w:rsidR="00521184" w:rsidRPr="00CB5512">
        <w:rPr>
          <w:rFonts w:eastAsia="Times New Roman" w:cs="Times New Roman"/>
          <w:sz w:val="24"/>
          <w:szCs w:val="24"/>
          <w:lang w:eastAsia="pl-PL"/>
        </w:rPr>
        <w:t>. zm.).</w:t>
      </w:r>
      <w:r w:rsidR="0054164A" w:rsidRPr="00CB5512">
        <w:rPr>
          <w:sz w:val="24"/>
          <w:szCs w:val="24"/>
        </w:rPr>
        <w:t>, oznacza czyn:</w:t>
      </w:r>
    </w:p>
    <w:p w14:paraId="5A507CFA" w14:textId="74290081" w:rsidR="0054164A" w:rsidRPr="00CB5512" w:rsidRDefault="004B5966" w:rsidP="00D634D6">
      <w:pPr>
        <w:pStyle w:val="Akapitzlist"/>
        <w:numPr>
          <w:ilvl w:val="0"/>
          <w:numId w:val="20"/>
        </w:numPr>
        <w:spacing w:line="360" w:lineRule="auto"/>
        <w:jc w:val="both"/>
        <w:rPr>
          <w:sz w:val="24"/>
          <w:szCs w:val="24"/>
        </w:rPr>
      </w:pPr>
      <w:r w:rsidRPr="00CB5512">
        <w:rPr>
          <w:sz w:val="24"/>
          <w:szCs w:val="24"/>
        </w:rPr>
        <w:t>polegający na obiecywaniu, proponowaniu lub wręczaniu przez jakąkolwiek osobę, bezpośrednio lub pośrednio, jakichkolwiek nienależnych korzyści osobie pełniącej funkcje publiczną dla niej samej lub dla jakiejkolwiek innej osoby, w zamian za działanie lub zaniechanie działania w wykonywaniu jej funkcji;</w:t>
      </w:r>
    </w:p>
    <w:p w14:paraId="640542C8" w14:textId="1E417066" w:rsidR="004B5966" w:rsidRPr="00CB5512" w:rsidRDefault="004B5966" w:rsidP="00D634D6">
      <w:pPr>
        <w:pStyle w:val="Akapitzlist"/>
        <w:numPr>
          <w:ilvl w:val="0"/>
          <w:numId w:val="20"/>
        </w:numPr>
        <w:spacing w:line="360" w:lineRule="auto"/>
        <w:jc w:val="both"/>
        <w:rPr>
          <w:sz w:val="24"/>
          <w:szCs w:val="24"/>
        </w:rPr>
      </w:pPr>
      <w:r w:rsidRPr="00CB5512">
        <w:rPr>
          <w:sz w:val="24"/>
          <w:szCs w:val="24"/>
        </w:rPr>
        <w:t>polegający na żądaniu lub przyjmowaniu przez osobę pełniącą funkcję publiczną bezpośrednio, lub pośrednio, jakichkolwiek nienależnych korzyści, dla niej samej lub dla jakiejkolwiek innej osoby, lub przyjmowaniu propozycji lub obietnicy takich korzyści, w zamian za działanie lub zaniechanie działania w wykonywaniu jej funkcji;</w:t>
      </w:r>
    </w:p>
    <w:p w14:paraId="38E1A53F" w14:textId="6E996629" w:rsidR="004B5966" w:rsidRPr="00CB5512" w:rsidRDefault="004B5966" w:rsidP="00D634D6">
      <w:pPr>
        <w:pStyle w:val="Akapitzlist"/>
        <w:numPr>
          <w:ilvl w:val="0"/>
          <w:numId w:val="20"/>
        </w:numPr>
        <w:spacing w:line="360" w:lineRule="auto"/>
        <w:jc w:val="both"/>
        <w:rPr>
          <w:sz w:val="24"/>
          <w:szCs w:val="24"/>
        </w:rPr>
      </w:pPr>
      <w:r w:rsidRPr="00CB5512">
        <w:rPr>
          <w:sz w:val="24"/>
          <w:szCs w:val="24"/>
        </w:rPr>
        <w:t>popełniany w toku działalności gospodarczej, obejmującej realizację zobowiązań względem władzy (instytucji) publicznej, polegający na obiecywaniu, proponowaniu lub wręczaniu, bezpośrednio lub pośrednio, osobie kierującej jednostką niezaliczaną do sektora finansów publicznych lub pracującej w jakimkolwiek charakterze na rzecz takiej jednostki, jakichkolwiek nienależnych korzyści, dla niej samej lub na rzecz jakiejkolwiek innej osoby, w zamian z</w:t>
      </w:r>
      <w:r w:rsidR="0028490C" w:rsidRPr="00CB5512">
        <w:rPr>
          <w:sz w:val="24"/>
          <w:szCs w:val="24"/>
        </w:rPr>
        <w:t>a</w:t>
      </w:r>
      <w:r w:rsidRPr="00CB5512">
        <w:rPr>
          <w:sz w:val="24"/>
          <w:szCs w:val="24"/>
        </w:rPr>
        <w:t xml:space="preserve"> działania, które narusza jej obowiązki i stanowi społecznie szkodliwe odwzajemnienie;</w:t>
      </w:r>
    </w:p>
    <w:p w14:paraId="1F553E80" w14:textId="76D12BAF" w:rsidR="004B5966" w:rsidRPr="00706200" w:rsidRDefault="004B5966" w:rsidP="00D634D6">
      <w:pPr>
        <w:pStyle w:val="Akapitzlist"/>
        <w:numPr>
          <w:ilvl w:val="0"/>
          <w:numId w:val="2"/>
        </w:numPr>
        <w:shd w:val="clear" w:color="auto" w:fill="FFFFFF"/>
        <w:spacing w:line="360" w:lineRule="auto"/>
        <w:ind w:left="284" w:hanging="284"/>
        <w:jc w:val="both"/>
        <w:rPr>
          <w:rFonts w:eastAsia="Times New Roman" w:cs="Times New Roman"/>
          <w:sz w:val="24"/>
          <w:szCs w:val="24"/>
          <w:lang w:eastAsia="pl-PL"/>
        </w:rPr>
      </w:pPr>
      <w:r w:rsidRPr="00706200">
        <w:rPr>
          <w:b/>
          <w:bCs/>
          <w:sz w:val="24"/>
          <w:szCs w:val="24"/>
        </w:rPr>
        <w:t>Konflikt interesów</w:t>
      </w:r>
      <w:r w:rsidRPr="00706200">
        <w:rPr>
          <w:sz w:val="24"/>
          <w:szCs w:val="24"/>
        </w:rPr>
        <w:t xml:space="preserve"> – należy przez to rozumieć konflikt, o którym mowa</w:t>
      </w:r>
      <w:r w:rsidR="00521184" w:rsidRPr="00706200">
        <w:rPr>
          <w:sz w:val="24"/>
          <w:szCs w:val="24"/>
        </w:rPr>
        <w:t xml:space="preserve"> w art. 61 r</w:t>
      </w:r>
      <w:r w:rsidR="00521184" w:rsidRPr="00706200">
        <w:rPr>
          <w:rFonts w:eastAsia="Times New Roman" w:cs="Times New Roman"/>
          <w:sz w:val="24"/>
          <w:szCs w:val="24"/>
          <w:lang w:eastAsia="pl-PL"/>
        </w:rPr>
        <w:t xml:space="preserve">ozporządzenia Parlamentu Europejskiego i Rady (UE, </w:t>
      </w:r>
      <w:proofErr w:type="spellStart"/>
      <w:r w:rsidR="00521184" w:rsidRPr="00706200">
        <w:rPr>
          <w:rFonts w:eastAsia="Times New Roman" w:cs="Times New Roman"/>
          <w:sz w:val="24"/>
          <w:szCs w:val="24"/>
          <w:lang w:eastAsia="pl-PL"/>
        </w:rPr>
        <w:t>Euratom</w:t>
      </w:r>
      <w:proofErr w:type="spellEnd"/>
      <w:r w:rsidR="00521184" w:rsidRPr="00706200">
        <w:rPr>
          <w:rFonts w:eastAsia="Times New Roman" w:cs="Times New Roman"/>
          <w:sz w:val="24"/>
          <w:szCs w:val="24"/>
          <w:lang w:eastAsia="pl-PL"/>
        </w:rPr>
        <w:t xml:space="preserve">) 2018/1046 z dnia 18 lipca 2018 r. w sprawie zasad finansowych mających zastosowanie do budżetu ogólnego Unii, zmieniające rozporządzenia (UE) nr 1296/2013, (UE) nr 1301/2013, (UE) nr 1303/2013, (UE) nr 1304/2013, (UE) nr 1309/2013, (UE) nr 1316/2013, (UE) nr 223/2014 i (UE) nr 283/2014 </w:t>
      </w:r>
      <w:r w:rsidR="00521184" w:rsidRPr="00706200">
        <w:rPr>
          <w:rFonts w:eastAsia="Times New Roman" w:cs="Times New Roman"/>
          <w:sz w:val="24"/>
          <w:szCs w:val="24"/>
          <w:lang w:eastAsia="pl-PL"/>
        </w:rPr>
        <w:lastRenderedPageBreak/>
        <w:t xml:space="preserve">oraz decyzję nr 541/2014/UE, a także uchylające rozporządzenie (UE, </w:t>
      </w:r>
      <w:proofErr w:type="spellStart"/>
      <w:r w:rsidR="00521184" w:rsidRPr="00706200">
        <w:rPr>
          <w:rFonts w:eastAsia="Times New Roman" w:cs="Times New Roman"/>
          <w:sz w:val="24"/>
          <w:szCs w:val="24"/>
          <w:lang w:eastAsia="pl-PL"/>
        </w:rPr>
        <w:t>Euratom</w:t>
      </w:r>
      <w:proofErr w:type="spellEnd"/>
      <w:r w:rsidR="00521184" w:rsidRPr="00706200">
        <w:rPr>
          <w:rFonts w:eastAsia="Times New Roman" w:cs="Times New Roman"/>
          <w:sz w:val="24"/>
          <w:szCs w:val="24"/>
          <w:lang w:eastAsia="pl-PL"/>
        </w:rPr>
        <w:t xml:space="preserve">) nr 966/2012 (Dz. U. UE. L. z 2018 r. Nr 193, str. 1 z </w:t>
      </w:r>
      <w:proofErr w:type="spellStart"/>
      <w:r w:rsidR="00521184" w:rsidRPr="00706200">
        <w:rPr>
          <w:rFonts w:eastAsia="Times New Roman" w:cs="Times New Roman"/>
          <w:sz w:val="24"/>
          <w:szCs w:val="24"/>
          <w:lang w:eastAsia="pl-PL"/>
        </w:rPr>
        <w:t>późn</w:t>
      </w:r>
      <w:proofErr w:type="spellEnd"/>
      <w:r w:rsidR="00521184" w:rsidRPr="00706200">
        <w:rPr>
          <w:rFonts w:eastAsia="Times New Roman" w:cs="Times New Roman"/>
          <w:sz w:val="24"/>
          <w:szCs w:val="24"/>
          <w:lang w:eastAsia="pl-PL"/>
        </w:rPr>
        <w:t>. zm.).</w:t>
      </w:r>
      <w:r w:rsidR="00377B55" w:rsidRPr="00706200">
        <w:rPr>
          <w:sz w:val="24"/>
          <w:szCs w:val="24"/>
        </w:rPr>
        <w:t>– rozporządzenia finansowego.</w:t>
      </w:r>
    </w:p>
    <w:p w14:paraId="6D32F250" w14:textId="5FA81924" w:rsidR="00A11848" w:rsidRPr="00CB5512" w:rsidRDefault="00377B55" w:rsidP="00D634D6">
      <w:pPr>
        <w:pStyle w:val="Akapitzlist"/>
        <w:numPr>
          <w:ilvl w:val="0"/>
          <w:numId w:val="2"/>
        </w:numPr>
        <w:spacing w:line="360" w:lineRule="auto"/>
        <w:ind w:left="284" w:hanging="284"/>
        <w:jc w:val="both"/>
        <w:rPr>
          <w:sz w:val="24"/>
          <w:szCs w:val="24"/>
        </w:rPr>
      </w:pPr>
      <w:r w:rsidRPr="00CB5512">
        <w:rPr>
          <w:b/>
          <w:bCs/>
          <w:sz w:val="24"/>
          <w:szCs w:val="24"/>
        </w:rPr>
        <w:t>Zmowy przetargowe</w:t>
      </w:r>
      <w:r w:rsidRPr="00CB5512">
        <w:rPr>
          <w:sz w:val="24"/>
          <w:szCs w:val="24"/>
        </w:rPr>
        <w:t xml:space="preserve"> – Zgodnie z art. 6 ust. 1 pkt 7 ustawy z dnia 16 lutego 2007 r. </w:t>
      </w:r>
      <w:r w:rsidR="001B7936">
        <w:rPr>
          <w:sz w:val="24"/>
          <w:szCs w:val="24"/>
        </w:rPr>
        <w:t xml:space="preserve">                       </w:t>
      </w:r>
      <w:r w:rsidRPr="00CB5512">
        <w:rPr>
          <w:sz w:val="24"/>
          <w:szCs w:val="24"/>
        </w:rPr>
        <w:t>o ochronie konkurencji i konsumentów (Dz. U. z 20</w:t>
      </w:r>
      <w:r w:rsidR="00DB4DAA" w:rsidRPr="00CB5512">
        <w:rPr>
          <w:sz w:val="24"/>
          <w:szCs w:val="24"/>
        </w:rPr>
        <w:t>21</w:t>
      </w:r>
      <w:r w:rsidRPr="00CB5512">
        <w:rPr>
          <w:sz w:val="24"/>
          <w:szCs w:val="24"/>
        </w:rPr>
        <w:t xml:space="preserve"> r. poz. </w:t>
      </w:r>
      <w:r w:rsidR="00DB4DAA" w:rsidRPr="00CB5512">
        <w:rPr>
          <w:sz w:val="24"/>
          <w:szCs w:val="24"/>
        </w:rPr>
        <w:t>275</w:t>
      </w:r>
      <w:r w:rsidRPr="00CB5512">
        <w:rPr>
          <w:sz w:val="24"/>
          <w:szCs w:val="24"/>
        </w:rPr>
        <w:t>), zmowy przetargowe to porozumienia, których celem lub skutkiem jest wyeliminowanie, ograniczenie lub naruszenie w inny sposób konkurencji na rynku właściwym. Zmowa przetargowa polega na uzgadnianiu przez przedsiębiorców i przedsiębiorcę będącego organizatorem przetargu, warunków składanych ofert, w szczególności co do zakresu prac lub ceny;</w:t>
      </w:r>
    </w:p>
    <w:p w14:paraId="14693080" w14:textId="5686CCE4" w:rsidR="00377B55" w:rsidRPr="00CB5512" w:rsidRDefault="00377B55" w:rsidP="00D634D6">
      <w:pPr>
        <w:pStyle w:val="Akapitzlist"/>
        <w:numPr>
          <w:ilvl w:val="0"/>
          <w:numId w:val="2"/>
        </w:numPr>
        <w:spacing w:line="360" w:lineRule="auto"/>
        <w:ind w:left="284" w:hanging="284"/>
        <w:jc w:val="both"/>
        <w:rPr>
          <w:sz w:val="24"/>
          <w:szCs w:val="24"/>
        </w:rPr>
      </w:pPr>
      <w:r w:rsidRPr="00CB5512">
        <w:rPr>
          <w:b/>
          <w:bCs/>
          <w:sz w:val="24"/>
          <w:szCs w:val="24"/>
        </w:rPr>
        <w:t>Oszustwo</w:t>
      </w:r>
      <w:r w:rsidRPr="00CB5512">
        <w:rPr>
          <w:sz w:val="24"/>
          <w:szCs w:val="24"/>
        </w:rPr>
        <w:t xml:space="preserve"> – należy przez to rozumieć:</w:t>
      </w:r>
    </w:p>
    <w:p w14:paraId="2EB605D4" w14:textId="2AB7958C" w:rsidR="00377B55" w:rsidRPr="00CB5512" w:rsidRDefault="00377B55" w:rsidP="00D634D6">
      <w:pPr>
        <w:pStyle w:val="Akapitzlist"/>
        <w:numPr>
          <w:ilvl w:val="0"/>
          <w:numId w:val="19"/>
        </w:numPr>
        <w:spacing w:line="360" w:lineRule="auto"/>
        <w:jc w:val="both"/>
        <w:rPr>
          <w:sz w:val="24"/>
          <w:szCs w:val="24"/>
        </w:rPr>
      </w:pPr>
      <w:r w:rsidRPr="00CB5512">
        <w:rPr>
          <w:sz w:val="24"/>
          <w:szCs w:val="24"/>
        </w:rPr>
        <w:t>wykorzystanie lub przedstawienie nieprawdziwych, niepoprawnych lub niepełnych oświadczeń lub dokumentów, które ma na celu sprzeniewierzenie lub bezprawne zatrzymanie środków z budżetu państwa, budżetu ogólnego Unii Europejskiej lub budżetów zarządzanych przez lub w imieniu Unii Europejskiej,</w:t>
      </w:r>
    </w:p>
    <w:p w14:paraId="5FF0D421" w14:textId="3C4127DA" w:rsidR="00377B55" w:rsidRPr="00CB5512" w:rsidRDefault="00377B55" w:rsidP="00D634D6">
      <w:pPr>
        <w:pStyle w:val="Akapitzlist"/>
        <w:numPr>
          <w:ilvl w:val="0"/>
          <w:numId w:val="19"/>
        </w:numPr>
        <w:spacing w:line="360" w:lineRule="auto"/>
        <w:jc w:val="both"/>
        <w:rPr>
          <w:sz w:val="24"/>
          <w:szCs w:val="24"/>
        </w:rPr>
      </w:pPr>
      <w:r w:rsidRPr="00CB5512">
        <w:rPr>
          <w:sz w:val="24"/>
          <w:szCs w:val="24"/>
        </w:rPr>
        <w:t>nieujawienie informacji z naruszeniem przepisów, powodujące efekt określony w pkt a,</w:t>
      </w:r>
    </w:p>
    <w:p w14:paraId="40586875" w14:textId="455DAB27" w:rsidR="005A1970" w:rsidRPr="00D634D6" w:rsidRDefault="00DC2844" w:rsidP="00D634D6">
      <w:pPr>
        <w:pStyle w:val="Akapitzlist"/>
        <w:numPr>
          <w:ilvl w:val="0"/>
          <w:numId w:val="19"/>
        </w:numPr>
        <w:spacing w:line="360" w:lineRule="auto"/>
        <w:jc w:val="both"/>
        <w:rPr>
          <w:sz w:val="24"/>
          <w:szCs w:val="24"/>
        </w:rPr>
      </w:pPr>
      <w:r w:rsidRPr="00CB5512">
        <w:rPr>
          <w:sz w:val="24"/>
          <w:szCs w:val="24"/>
        </w:rPr>
        <w:t>wykorzystanie środków do celów innych niż te, dla których były pierwotne przyznane</w:t>
      </w:r>
    </w:p>
    <w:p w14:paraId="2159FA41" w14:textId="1DE10273" w:rsidR="00DC2844" w:rsidRPr="00CB5512" w:rsidRDefault="00DC2844" w:rsidP="00D634D6">
      <w:pPr>
        <w:pStyle w:val="Akapitzlist"/>
        <w:numPr>
          <w:ilvl w:val="0"/>
          <w:numId w:val="2"/>
        </w:numPr>
        <w:spacing w:line="360" w:lineRule="auto"/>
        <w:ind w:left="284" w:hanging="284"/>
        <w:jc w:val="both"/>
        <w:rPr>
          <w:sz w:val="24"/>
          <w:szCs w:val="24"/>
        </w:rPr>
      </w:pPr>
      <w:r w:rsidRPr="00CB5512">
        <w:rPr>
          <w:b/>
          <w:bCs/>
          <w:sz w:val="24"/>
          <w:szCs w:val="24"/>
        </w:rPr>
        <w:t>Zwalczanie nadużyć finansowych</w:t>
      </w:r>
      <w:r w:rsidRPr="00CB5512">
        <w:rPr>
          <w:sz w:val="24"/>
          <w:szCs w:val="24"/>
        </w:rPr>
        <w:t xml:space="preserve"> – należy przez to rozumieć wprowadzenie w Urzędzie Miasta Pruszkowa skutecznych, efektywnych i adekwatnych mechanizmów, uwzględniających zdefiniowane rodzaje ryzyka.</w:t>
      </w:r>
    </w:p>
    <w:p w14:paraId="5D1CEB5F" w14:textId="77777777" w:rsidR="00DC2844" w:rsidRPr="00CB5512" w:rsidRDefault="00DC2844" w:rsidP="00D634D6">
      <w:pPr>
        <w:pStyle w:val="Akapitzlist"/>
        <w:spacing w:line="360" w:lineRule="auto"/>
        <w:jc w:val="both"/>
        <w:rPr>
          <w:sz w:val="24"/>
          <w:szCs w:val="24"/>
        </w:rPr>
      </w:pPr>
    </w:p>
    <w:p w14:paraId="2ACF1A8C" w14:textId="03C9D711" w:rsidR="00DC2844" w:rsidRPr="00CB5512" w:rsidRDefault="00DC2844" w:rsidP="00D634D6">
      <w:pPr>
        <w:pStyle w:val="Akapitzlist"/>
        <w:numPr>
          <w:ilvl w:val="0"/>
          <w:numId w:val="18"/>
        </w:numPr>
        <w:spacing w:line="360" w:lineRule="auto"/>
        <w:jc w:val="both"/>
        <w:rPr>
          <w:b/>
          <w:bCs/>
          <w:sz w:val="24"/>
          <w:szCs w:val="24"/>
        </w:rPr>
      </w:pPr>
      <w:r w:rsidRPr="00CB5512">
        <w:rPr>
          <w:b/>
          <w:bCs/>
          <w:sz w:val="24"/>
          <w:szCs w:val="24"/>
        </w:rPr>
        <w:t xml:space="preserve">Środki </w:t>
      </w:r>
      <w:r w:rsidR="002E4DE4" w:rsidRPr="00CB5512">
        <w:rPr>
          <w:b/>
          <w:bCs/>
          <w:sz w:val="24"/>
          <w:szCs w:val="24"/>
        </w:rPr>
        <w:t>zwalczania</w:t>
      </w:r>
      <w:r w:rsidRPr="00CB5512">
        <w:rPr>
          <w:b/>
          <w:bCs/>
          <w:sz w:val="24"/>
          <w:szCs w:val="24"/>
        </w:rPr>
        <w:t xml:space="preserve"> nadużyć finansowych</w:t>
      </w:r>
    </w:p>
    <w:p w14:paraId="43E6B197" w14:textId="45CE55A7" w:rsidR="00DC2844" w:rsidRPr="00CB5512" w:rsidRDefault="00DC2844" w:rsidP="00D634D6">
      <w:pPr>
        <w:shd w:val="clear" w:color="auto" w:fill="FFFFFF"/>
        <w:spacing w:line="360" w:lineRule="auto"/>
        <w:jc w:val="both"/>
        <w:rPr>
          <w:sz w:val="24"/>
          <w:szCs w:val="24"/>
        </w:rPr>
      </w:pPr>
      <w:r w:rsidRPr="00CB5512">
        <w:rPr>
          <w:sz w:val="24"/>
          <w:szCs w:val="24"/>
        </w:rPr>
        <w:t xml:space="preserve">Zgodnie z art. 72 rozporządzenia </w:t>
      </w:r>
      <w:r w:rsidR="00DB4DAA" w:rsidRPr="00CB5512">
        <w:rPr>
          <w:rFonts w:eastAsia="Times New Roman" w:cs="Times New Roman"/>
          <w:sz w:val="24"/>
          <w:szCs w:val="24"/>
          <w:lang w:eastAsia="pl-PL"/>
        </w:rPr>
        <w:t xml:space="preserve">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 UE. L. z 2013 r. Nr 347, str. 320 z </w:t>
      </w:r>
      <w:proofErr w:type="spellStart"/>
      <w:r w:rsidR="00DB4DAA" w:rsidRPr="00CB5512">
        <w:rPr>
          <w:rFonts w:eastAsia="Times New Roman" w:cs="Times New Roman"/>
          <w:sz w:val="24"/>
          <w:szCs w:val="24"/>
          <w:lang w:eastAsia="pl-PL"/>
        </w:rPr>
        <w:t>późn</w:t>
      </w:r>
      <w:proofErr w:type="spellEnd"/>
      <w:r w:rsidR="00DB4DAA" w:rsidRPr="00CB5512">
        <w:rPr>
          <w:rFonts w:eastAsia="Times New Roman" w:cs="Times New Roman"/>
          <w:sz w:val="24"/>
          <w:szCs w:val="24"/>
          <w:lang w:eastAsia="pl-PL"/>
        </w:rPr>
        <w:t xml:space="preserve">. zm.) </w:t>
      </w:r>
      <w:r w:rsidRPr="00CB5512">
        <w:rPr>
          <w:sz w:val="24"/>
          <w:szCs w:val="24"/>
        </w:rPr>
        <w:t xml:space="preserve">zadaniem systemów zarządzania i kontroli jest zapobieganie nieprawidłowościom, w tym </w:t>
      </w:r>
      <w:r w:rsidRPr="00CB5512">
        <w:rPr>
          <w:sz w:val="24"/>
          <w:szCs w:val="24"/>
        </w:rPr>
        <w:lastRenderedPageBreak/>
        <w:t>nadużyciom finansowym, oraz ich wykrywanie i korygowanie oraz odzyskiwanie kwot nienależnie wypłaconych wraz z odsetkami tytułem zwrotu tych kwot po terminie.</w:t>
      </w:r>
    </w:p>
    <w:p w14:paraId="124C291C" w14:textId="04598A74" w:rsidR="00DC2844" w:rsidRPr="00CB5512" w:rsidRDefault="00DC2844" w:rsidP="00D634D6">
      <w:pPr>
        <w:spacing w:line="360" w:lineRule="auto"/>
        <w:jc w:val="both"/>
        <w:rPr>
          <w:sz w:val="24"/>
          <w:szCs w:val="24"/>
        </w:rPr>
      </w:pPr>
      <w:r w:rsidRPr="00CB5512">
        <w:rPr>
          <w:sz w:val="24"/>
          <w:szCs w:val="24"/>
        </w:rPr>
        <w:t>System zarządzania i kontroli w Urzędzie Miasta Pruszkowa</w:t>
      </w:r>
      <w:r w:rsidR="00D77D5E" w:rsidRPr="00CB5512">
        <w:rPr>
          <w:sz w:val="24"/>
          <w:szCs w:val="24"/>
        </w:rPr>
        <w:t xml:space="preserve"> za</w:t>
      </w:r>
      <w:r w:rsidR="004029E5">
        <w:rPr>
          <w:sz w:val="24"/>
          <w:szCs w:val="24"/>
        </w:rPr>
        <w:t xml:space="preserve">pewnia zapobieganie, wykrywanie </w:t>
      </w:r>
      <w:r w:rsidR="00D77D5E" w:rsidRPr="00CB5512">
        <w:rPr>
          <w:sz w:val="24"/>
          <w:szCs w:val="24"/>
        </w:rPr>
        <w:t xml:space="preserve">i korygowanie przypadków nadużyć finansowych oraz odzyskiwanie kwot nienależnie wypłaconych </w:t>
      </w:r>
      <w:r w:rsidR="004029E5">
        <w:rPr>
          <w:sz w:val="24"/>
          <w:szCs w:val="24"/>
        </w:rPr>
        <w:t xml:space="preserve"> </w:t>
      </w:r>
      <w:r w:rsidR="00D77D5E" w:rsidRPr="00CB5512">
        <w:rPr>
          <w:sz w:val="24"/>
          <w:szCs w:val="24"/>
        </w:rPr>
        <w:t>w związku z popełnieniem nadużyć finansowych.</w:t>
      </w:r>
    </w:p>
    <w:p w14:paraId="473DEDD1" w14:textId="4ED95C02" w:rsidR="005A1970" w:rsidRDefault="00D77D5E" w:rsidP="00D634D6">
      <w:pPr>
        <w:spacing w:line="360" w:lineRule="auto"/>
        <w:jc w:val="both"/>
        <w:rPr>
          <w:sz w:val="24"/>
          <w:szCs w:val="24"/>
        </w:rPr>
      </w:pPr>
      <w:r w:rsidRPr="00CB5512">
        <w:rPr>
          <w:sz w:val="24"/>
          <w:szCs w:val="24"/>
        </w:rPr>
        <w:t xml:space="preserve">Procedury wewnętrzne i zewnętrzne stanowiące system wykrywania i zwalczania nadużyć finansowych i korupcji w Urzędzie Miasta Pruszkowa określają procedury opisane </w:t>
      </w:r>
      <w:r w:rsidR="001B7936">
        <w:rPr>
          <w:sz w:val="24"/>
          <w:szCs w:val="24"/>
        </w:rPr>
        <w:t xml:space="preserve">                            </w:t>
      </w:r>
      <w:r w:rsidRPr="00CB5512">
        <w:rPr>
          <w:sz w:val="24"/>
          <w:szCs w:val="24"/>
        </w:rPr>
        <w:t>w niniejszym dokumencie.</w:t>
      </w:r>
    </w:p>
    <w:p w14:paraId="4F81B4B2" w14:textId="77777777" w:rsidR="004029E5" w:rsidRPr="00CB5512" w:rsidRDefault="004029E5" w:rsidP="00D634D6">
      <w:pPr>
        <w:spacing w:line="360" w:lineRule="auto"/>
        <w:jc w:val="both"/>
        <w:rPr>
          <w:sz w:val="24"/>
          <w:szCs w:val="24"/>
        </w:rPr>
      </w:pPr>
    </w:p>
    <w:p w14:paraId="60FF0761" w14:textId="3465E51D" w:rsidR="00D77D5E" w:rsidRPr="00CB5512" w:rsidRDefault="00D77D5E" w:rsidP="00D634D6">
      <w:pPr>
        <w:pStyle w:val="Akapitzlist"/>
        <w:numPr>
          <w:ilvl w:val="0"/>
          <w:numId w:val="18"/>
        </w:numPr>
        <w:spacing w:line="360" w:lineRule="auto"/>
        <w:jc w:val="both"/>
        <w:rPr>
          <w:b/>
          <w:bCs/>
          <w:sz w:val="24"/>
          <w:szCs w:val="24"/>
        </w:rPr>
      </w:pPr>
      <w:r w:rsidRPr="00CB5512">
        <w:rPr>
          <w:b/>
          <w:bCs/>
          <w:sz w:val="24"/>
          <w:szCs w:val="24"/>
        </w:rPr>
        <w:t>Zapobieganie nieprawidłowościom i nadużyciom finansowym</w:t>
      </w:r>
    </w:p>
    <w:p w14:paraId="74097275" w14:textId="00DFE211" w:rsidR="0028490C" w:rsidRPr="00CB5512" w:rsidRDefault="00A11848" w:rsidP="00D634D6">
      <w:pPr>
        <w:spacing w:line="360" w:lineRule="auto"/>
        <w:jc w:val="both"/>
        <w:rPr>
          <w:sz w:val="24"/>
          <w:szCs w:val="24"/>
        </w:rPr>
      </w:pPr>
      <w:r w:rsidRPr="00CB5512">
        <w:rPr>
          <w:b/>
          <w:sz w:val="24"/>
          <w:szCs w:val="24"/>
        </w:rPr>
        <w:t>1</w:t>
      </w:r>
      <w:r w:rsidR="00D77D5E" w:rsidRPr="00CB5512">
        <w:rPr>
          <w:b/>
          <w:sz w:val="24"/>
          <w:szCs w:val="24"/>
        </w:rPr>
        <w:t>.Działania do</w:t>
      </w:r>
      <w:r w:rsidR="003A295F" w:rsidRPr="00CB5512">
        <w:rPr>
          <w:b/>
          <w:sz w:val="24"/>
          <w:szCs w:val="24"/>
        </w:rPr>
        <w:t>tyczące kultury antykorupcyjnej</w:t>
      </w:r>
    </w:p>
    <w:p w14:paraId="0B948028" w14:textId="03ABA214" w:rsidR="00D003B9" w:rsidRPr="00CB5512" w:rsidRDefault="00D77D5E" w:rsidP="00D634D6">
      <w:pPr>
        <w:spacing w:line="360" w:lineRule="auto"/>
        <w:jc w:val="both"/>
        <w:rPr>
          <w:sz w:val="24"/>
          <w:szCs w:val="24"/>
        </w:rPr>
      </w:pPr>
      <w:r w:rsidRPr="00CB5512">
        <w:rPr>
          <w:sz w:val="24"/>
          <w:szCs w:val="24"/>
        </w:rPr>
        <w:t xml:space="preserve">Stworzenie kultury zwalczania nadużyć finansowych jest kluczowe zarówno </w:t>
      </w:r>
      <w:r w:rsidR="001B7936">
        <w:rPr>
          <w:sz w:val="24"/>
          <w:szCs w:val="24"/>
        </w:rPr>
        <w:t xml:space="preserve">                                           </w:t>
      </w:r>
      <w:r w:rsidRPr="00CB5512">
        <w:rPr>
          <w:sz w:val="24"/>
          <w:szCs w:val="24"/>
        </w:rPr>
        <w:t xml:space="preserve">w powstrzymywaniu potencjalnych oszustów, jak i w zwiększeniu zaangażowania pracowników </w:t>
      </w:r>
      <w:r w:rsidR="00D003B9" w:rsidRPr="00CB5512">
        <w:rPr>
          <w:sz w:val="24"/>
          <w:szCs w:val="24"/>
        </w:rPr>
        <w:t xml:space="preserve">Jednostki Realizującej Projekt </w:t>
      </w:r>
      <w:r w:rsidRPr="00CB5512">
        <w:rPr>
          <w:sz w:val="24"/>
          <w:szCs w:val="24"/>
        </w:rPr>
        <w:t xml:space="preserve">w zwalczanie nadużyć finansowych wewnątrz instytucji. </w:t>
      </w:r>
    </w:p>
    <w:p w14:paraId="573BDEBB" w14:textId="3CDE4D17" w:rsidR="00D003B9" w:rsidRPr="00CB5512" w:rsidRDefault="00D77D5E" w:rsidP="00D634D6">
      <w:pPr>
        <w:spacing w:line="360" w:lineRule="auto"/>
        <w:jc w:val="both"/>
        <w:rPr>
          <w:sz w:val="24"/>
          <w:szCs w:val="24"/>
        </w:rPr>
      </w:pPr>
      <w:r w:rsidRPr="00CB5512">
        <w:rPr>
          <w:sz w:val="24"/>
          <w:szCs w:val="24"/>
        </w:rPr>
        <w:t xml:space="preserve">Pracownicy </w:t>
      </w:r>
      <w:r w:rsidR="00D003B9" w:rsidRPr="00CB5512">
        <w:rPr>
          <w:sz w:val="24"/>
          <w:szCs w:val="24"/>
        </w:rPr>
        <w:t xml:space="preserve">Jednostki Realizującej Projekt </w:t>
      </w:r>
      <w:r w:rsidRPr="00CB5512">
        <w:rPr>
          <w:sz w:val="24"/>
          <w:szCs w:val="24"/>
        </w:rPr>
        <w:t xml:space="preserve">zobowiązani są także do zachowania lojalności wobec Urzędu Miasta Pruszkowa i przełożonych, powinni odmawiać wykonywania poleceń sprzecznych z prawem oraz powiadamiać przełożonych o takich przypadkach, jak również </w:t>
      </w:r>
      <w:r w:rsidR="001B7936">
        <w:rPr>
          <w:sz w:val="24"/>
          <w:szCs w:val="24"/>
        </w:rPr>
        <w:t xml:space="preserve">          </w:t>
      </w:r>
      <w:r w:rsidRPr="00CB5512">
        <w:rPr>
          <w:sz w:val="24"/>
          <w:szCs w:val="24"/>
        </w:rPr>
        <w:t>o przypadkach niegospodarności, korupcji, a także innych faktach i działaniach budzących</w:t>
      </w:r>
      <w:r w:rsidR="002E4DE4" w:rsidRPr="00CB5512">
        <w:rPr>
          <w:sz w:val="24"/>
          <w:szCs w:val="24"/>
        </w:rPr>
        <w:t xml:space="preserve"> wątpliwości co do ich celowości lub legalności. Pracownicy </w:t>
      </w:r>
      <w:r w:rsidR="00D003B9" w:rsidRPr="00CB5512">
        <w:rPr>
          <w:sz w:val="24"/>
          <w:szCs w:val="24"/>
        </w:rPr>
        <w:t xml:space="preserve">Jednostki realizującej Projekt </w:t>
      </w:r>
      <w:r w:rsidR="002E4DE4" w:rsidRPr="00CB5512">
        <w:rPr>
          <w:sz w:val="24"/>
          <w:szCs w:val="24"/>
        </w:rPr>
        <w:t xml:space="preserve">powinni ponadto jednakowo traktować wszystkich uczestników postępowania, odcinając się od jakichkolwiek wpływów i nacisków. Nie mogą żądać i przyjmować jakichkolwiek korzyści majątkowych i osobistych. </w:t>
      </w:r>
    </w:p>
    <w:p w14:paraId="24432F00" w14:textId="620406FC" w:rsidR="0089069C" w:rsidRPr="00CB5512" w:rsidRDefault="0089069C" w:rsidP="00D634D6">
      <w:pPr>
        <w:spacing w:line="360" w:lineRule="auto"/>
        <w:jc w:val="both"/>
        <w:rPr>
          <w:sz w:val="24"/>
          <w:szCs w:val="24"/>
        </w:rPr>
      </w:pPr>
      <w:r w:rsidRPr="00CB5512">
        <w:rPr>
          <w:sz w:val="24"/>
          <w:szCs w:val="24"/>
        </w:rPr>
        <w:t>Obszarami, w których pracownicy narażeni są na ryzyko wystąpienia zjawisk korupcyjnych są zwłaszcza działania związane z realizacją programów operacyjnych finansowych z funduszy unijnych oraz działania w zakresie programów operacyjnych finansowych z f</w:t>
      </w:r>
      <w:r w:rsidR="001B7936">
        <w:rPr>
          <w:sz w:val="24"/>
          <w:szCs w:val="24"/>
        </w:rPr>
        <w:t>unduszy unijnych oraz działania</w:t>
      </w:r>
      <w:r w:rsidR="003A295F" w:rsidRPr="00CB5512">
        <w:rPr>
          <w:sz w:val="24"/>
          <w:szCs w:val="24"/>
        </w:rPr>
        <w:t xml:space="preserve">  </w:t>
      </w:r>
      <w:r w:rsidRPr="00CB5512">
        <w:rPr>
          <w:sz w:val="24"/>
          <w:szCs w:val="24"/>
        </w:rPr>
        <w:t xml:space="preserve">w zakresie zamówień publicznych. Mając na uwadze, że pracownicy Urzędu są </w:t>
      </w:r>
      <w:r w:rsidRPr="00CB5512">
        <w:rPr>
          <w:sz w:val="24"/>
          <w:szCs w:val="24"/>
        </w:rPr>
        <w:lastRenderedPageBreak/>
        <w:t xml:space="preserve">funkcjonariuszami publicznymi, zobowiązani są do przestrzegania najwyższych standardów </w:t>
      </w:r>
      <w:proofErr w:type="spellStart"/>
      <w:r w:rsidRPr="00CB5512">
        <w:rPr>
          <w:sz w:val="24"/>
          <w:szCs w:val="24"/>
        </w:rPr>
        <w:t>zachowań</w:t>
      </w:r>
      <w:proofErr w:type="spellEnd"/>
      <w:r w:rsidRPr="00CB5512">
        <w:rPr>
          <w:sz w:val="24"/>
          <w:szCs w:val="24"/>
        </w:rPr>
        <w:t xml:space="preserve"> w celu uniknięcia wszelkich podejrzeń odnośnie prawidłowości realizowanych przez siebie zadań. W szczególności pracownicy nie mogą przyjmować jakichkolwiek korzyści </w:t>
      </w:r>
      <w:r w:rsidR="00FC610A">
        <w:rPr>
          <w:sz w:val="24"/>
          <w:szCs w:val="24"/>
        </w:rPr>
        <w:t xml:space="preserve">               </w:t>
      </w:r>
      <w:r w:rsidRPr="00CB5512">
        <w:rPr>
          <w:sz w:val="24"/>
          <w:szCs w:val="24"/>
        </w:rPr>
        <w:t xml:space="preserve">w związku z wykonywanymi przez siebie zadaniami. W sytuacji, gdy pracownik, spotka się </w:t>
      </w:r>
      <w:r w:rsidR="00FC610A">
        <w:rPr>
          <w:sz w:val="24"/>
          <w:szCs w:val="24"/>
        </w:rPr>
        <w:t xml:space="preserve">           </w:t>
      </w:r>
      <w:r w:rsidRPr="00CB5512">
        <w:rPr>
          <w:sz w:val="24"/>
          <w:szCs w:val="24"/>
        </w:rPr>
        <w:t>z prośba korupcji, zobowiązany jest do:</w:t>
      </w:r>
    </w:p>
    <w:p w14:paraId="458B9791" w14:textId="0C39591E" w:rsidR="0089069C" w:rsidRPr="00CB5512" w:rsidRDefault="00B33D81" w:rsidP="00D634D6">
      <w:pPr>
        <w:pStyle w:val="Akapitzlist"/>
        <w:numPr>
          <w:ilvl w:val="0"/>
          <w:numId w:val="7"/>
        </w:numPr>
        <w:spacing w:line="360" w:lineRule="auto"/>
        <w:jc w:val="both"/>
        <w:rPr>
          <w:sz w:val="24"/>
          <w:szCs w:val="24"/>
        </w:rPr>
      </w:pPr>
      <w:r w:rsidRPr="00CB5512">
        <w:rPr>
          <w:sz w:val="24"/>
          <w:szCs w:val="24"/>
        </w:rPr>
        <w:t>Zdecydowanej odmowy przyjęcia propozycji korupcyjnej;</w:t>
      </w:r>
    </w:p>
    <w:p w14:paraId="0F1C9A1C" w14:textId="3AA357FC" w:rsidR="00B33D81" w:rsidRPr="00CB5512" w:rsidRDefault="00B33D81" w:rsidP="00D634D6">
      <w:pPr>
        <w:pStyle w:val="Akapitzlist"/>
        <w:numPr>
          <w:ilvl w:val="0"/>
          <w:numId w:val="7"/>
        </w:numPr>
        <w:spacing w:line="360" w:lineRule="auto"/>
        <w:jc w:val="both"/>
        <w:rPr>
          <w:sz w:val="24"/>
          <w:szCs w:val="24"/>
        </w:rPr>
      </w:pPr>
      <w:r w:rsidRPr="00CB5512">
        <w:rPr>
          <w:sz w:val="24"/>
          <w:szCs w:val="24"/>
        </w:rPr>
        <w:t>Niezwłocznego zgłoszenia informacji o zaistniałej, Przewodniczącemu Komisji Przetargowej, bezpośredniemu przełożonemu lub innej osobie z kierownictwa w celu zawiadomienia właściwych organów ścigania;</w:t>
      </w:r>
    </w:p>
    <w:p w14:paraId="277342E1" w14:textId="5752E12D" w:rsidR="00B33D81" w:rsidRPr="00CB5512" w:rsidRDefault="00B33D81" w:rsidP="00D634D6">
      <w:pPr>
        <w:pStyle w:val="Akapitzlist"/>
        <w:numPr>
          <w:ilvl w:val="0"/>
          <w:numId w:val="7"/>
        </w:numPr>
        <w:spacing w:line="360" w:lineRule="auto"/>
        <w:jc w:val="both"/>
        <w:rPr>
          <w:sz w:val="24"/>
          <w:szCs w:val="24"/>
        </w:rPr>
      </w:pPr>
      <w:r w:rsidRPr="00CB5512">
        <w:rPr>
          <w:sz w:val="24"/>
          <w:szCs w:val="24"/>
        </w:rPr>
        <w:t>Opisania zdarzenia w notatce służbowej;</w:t>
      </w:r>
    </w:p>
    <w:p w14:paraId="74251A78" w14:textId="5D701CDE" w:rsidR="00B33D81" w:rsidRPr="00CB5512" w:rsidRDefault="00B33D81" w:rsidP="00D634D6">
      <w:pPr>
        <w:pStyle w:val="Akapitzlist"/>
        <w:numPr>
          <w:ilvl w:val="0"/>
          <w:numId w:val="7"/>
        </w:numPr>
        <w:spacing w:line="360" w:lineRule="auto"/>
        <w:jc w:val="both"/>
        <w:rPr>
          <w:sz w:val="24"/>
          <w:szCs w:val="24"/>
        </w:rPr>
      </w:pPr>
      <w:r w:rsidRPr="00CB5512">
        <w:rPr>
          <w:sz w:val="24"/>
          <w:szCs w:val="24"/>
        </w:rPr>
        <w:t>Współpracy z organami ścigania w celu wyjaśnienia okoliczności zdarzenia.</w:t>
      </w:r>
    </w:p>
    <w:p w14:paraId="39ECE3B5" w14:textId="0A7EF304" w:rsidR="00CA7864" w:rsidRPr="00CB5512" w:rsidRDefault="00B33D81" w:rsidP="00D634D6">
      <w:pPr>
        <w:spacing w:line="360" w:lineRule="auto"/>
        <w:jc w:val="both"/>
        <w:rPr>
          <w:b/>
          <w:bCs/>
          <w:sz w:val="24"/>
          <w:szCs w:val="24"/>
        </w:rPr>
      </w:pPr>
      <w:r w:rsidRPr="00CB5512">
        <w:rPr>
          <w:b/>
          <w:bCs/>
          <w:sz w:val="24"/>
          <w:szCs w:val="24"/>
        </w:rPr>
        <w:t xml:space="preserve">Od wszystkich pracowników </w:t>
      </w:r>
      <w:r w:rsidR="00D003B9" w:rsidRPr="00CB5512">
        <w:rPr>
          <w:b/>
          <w:bCs/>
          <w:sz w:val="24"/>
          <w:szCs w:val="24"/>
        </w:rPr>
        <w:t>Jednostki Realizującej Projekt</w:t>
      </w:r>
      <w:r w:rsidR="00CA7864" w:rsidRPr="00CB5512">
        <w:rPr>
          <w:b/>
          <w:bCs/>
          <w:sz w:val="24"/>
          <w:szCs w:val="24"/>
        </w:rPr>
        <w:t xml:space="preserve"> oczekuje się, że w trakcie realizacji nałożonych na nich obowiązków, będą przestrzegać zasad prawości, obiektywności, odpowiedzialności i uczciwości.</w:t>
      </w:r>
    </w:p>
    <w:p w14:paraId="3CE146E0" w14:textId="4408174A" w:rsidR="00CA7864" w:rsidRPr="00CB5512" w:rsidRDefault="00CA7864" w:rsidP="00D634D6">
      <w:pPr>
        <w:spacing w:line="360" w:lineRule="auto"/>
        <w:jc w:val="both"/>
        <w:rPr>
          <w:b/>
          <w:sz w:val="24"/>
          <w:szCs w:val="24"/>
        </w:rPr>
      </w:pPr>
      <w:r w:rsidRPr="00CB5512">
        <w:rPr>
          <w:b/>
          <w:sz w:val="24"/>
          <w:szCs w:val="24"/>
        </w:rPr>
        <w:t>2.Polityka szkoleniowa i podnoszenie świadomości w zakresie przeciwdziałania i zwalczania nadużyć finansowych</w:t>
      </w:r>
    </w:p>
    <w:p w14:paraId="540816B9" w14:textId="609DDB42" w:rsidR="00CA7864" w:rsidRPr="00CB5512" w:rsidRDefault="00CA7864" w:rsidP="00D634D6">
      <w:pPr>
        <w:spacing w:line="360" w:lineRule="auto"/>
        <w:jc w:val="both"/>
        <w:rPr>
          <w:sz w:val="24"/>
          <w:szCs w:val="24"/>
        </w:rPr>
      </w:pPr>
      <w:r w:rsidRPr="00CB5512">
        <w:rPr>
          <w:sz w:val="24"/>
          <w:szCs w:val="24"/>
        </w:rPr>
        <w:t>Kompleksowe działania szkoleniowe i mające na celu podnoszenie świadomości na temat nadużyć finansowych odgrywają kluczową rolę w zapobieganiu wystąpienia nadużyć finansowych. Urząd Miasta Pruszkowa w celu zapewnienia odpowiedniego poziomu realizacji obowiązków szkoleniowo-informacyjnych podejmuje następujące działania:</w:t>
      </w:r>
    </w:p>
    <w:p w14:paraId="22F15390" w14:textId="1BC25A49" w:rsidR="00CA7864" w:rsidRPr="00CB5512" w:rsidRDefault="00CA7864" w:rsidP="00D634D6">
      <w:pPr>
        <w:spacing w:line="360" w:lineRule="auto"/>
        <w:jc w:val="both"/>
        <w:rPr>
          <w:sz w:val="24"/>
          <w:szCs w:val="24"/>
        </w:rPr>
      </w:pPr>
      <w:r w:rsidRPr="00CB5512">
        <w:rPr>
          <w:sz w:val="24"/>
          <w:szCs w:val="24"/>
        </w:rPr>
        <w:t>- przeprowadza działania w zakresie szkoleń oraz działań informacyjnych dotyczących nadużyć finansowych;</w:t>
      </w:r>
    </w:p>
    <w:p w14:paraId="0A0E50C1" w14:textId="68E8DF74" w:rsidR="00CA7864" w:rsidRPr="00CB5512" w:rsidRDefault="00CA7864" w:rsidP="00D634D6">
      <w:pPr>
        <w:spacing w:line="360" w:lineRule="auto"/>
        <w:jc w:val="both"/>
        <w:rPr>
          <w:sz w:val="24"/>
          <w:szCs w:val="24"/>
        </w:rPr>
      </w:pPr>
      <w:r w:rsidRPr="00CB5512">
        <w:rPr>
          <w:sz w:val="24"/>
          <w:szCs w:val="24"/>
        </w:rPr>
        <w:t>- informuje pracowników o przyjętych zasadach zwalczania nadużyć finansowych na stronie internetowej, w biuletynach i materiałach informacyjnych skierowanych do wnioskodawców/beneficjentów;</w:t>
      </w:r>
    </w:p>
    <w:p w14:paraId="48D15981" w14:textId="19579BB2" w:rsidR="00CA7864" w:rsidRPr="00CB5512" w:rsidRDefault="00CA7864" w:rsidP="00D634D6">
      <w:pPr>
        <w:spacing w:line="360" w:lineRule="auto"/>
        <w:jc w:val="both"/>
        <w:rPr>
          <w:sz w:val="24"/>
          <w:szCs w:val="24"/>
        </w:rPr>
      </w:pPr>
      <w:r w:rsidRPr="00CB5512">
        <w:rPr>
          <w:sz w:val="24"/>
          <w:szCs w:val="24"/>
        </w:rPr>
        <w:t>- informuje wnioskodawców/beneficjentów o przyjętej polityce przeciwdziałania i zwalczania nadużyć finansowych podczas spotkań roboczych oraz szkoleniowych.</w:t>
      </w:r>
    </w:p>
    <w:p w14:paraId="095D7075" w14:textId="057240B6" w:rsidR="004F2986" w:rsidRPr="00CB5512" w:rsidRDefault="004F2986" w:rsidP="00D634D6">
      <w:pPr>
        <w:spacing w:line="360" w:lineRule="auto"/>
        <w:jc w:val="both"/>
        <w:rPr>
          <w:b/>
          <w:sz w:val="24"/>
          <w:szCs w:val="24"/>
        </w:rPr>
      </w:pPr>
      <w:r w:rsidRPr="00CB5512">
        <w:rPr>
          <w:b/>
          <w:sz w:val="24"/>
          <w:szCs w:val="24"/>
        </w:rPr>
        <w:lastRenderedPageBreak/>
        <w:t>3. System kontroli wewnętrznej</w:t>
      </w:r>
    </w:p>
    <w:p w14:paraId="4811C833" w14:textId="77777777" w:rsidR="00D52F56" w:rsidRPr="00CB5512" w:rsidRDefault="004F2986" w:rsidP="00D634D6">
      <w:pPr>
        <w:spacing w:line="360" w:lineRule="auto"/>
        <w:jc w:val="both"/>
        <w:rPr>
          <w:sz w:val="24"/>
          <w:szCs w:val="24"/>
        </w:rPr>
      </w:pPr>
      <w:r w:rsidRPr="00CB5512">
        <w:rPr>
          <w:sz w:val="24"/>
          <w:szCs w:val="24"/>
        </w:rPr>
        <w:t>Najlepszym sposobem zapobiegania nadużyciom finansowym jest działający stabilny system kontroli wewnętrznej, który powinien być zaprojektowany i wdrażany jako</w:t>
      </w:r>
      <w:r w:rsidR="003D319C" w:rsidRPr="00CB5512">
        <w:rPr>
          <w:sz w:val="24"/>
          <w:szCs w:val="24"/>
        </w:rPr>
        <w:t xml:space="preserve"> proporcjonalna reakcja na różne rodzaje </w:t>
      </w:r>
      <w:proofErr w:type="spellStart"/>
      <w:r w:rsidR="003D319C" w:rsidRPr="00CB5512">
        <w:rPr>
          <w:sz w:val="24"/>
          <w:szCs w:val="24"/>
        </w:rPr>
        <w:t>ryzyk</w:t>
      </w:r>
      <w:proofErr w:type="spellEnd"/>
      <w:r w:rsidR="003D319C" w:rsidRPr="00CB5512">
        <w:rPr>
          <w:sz w:val="24"/>
          <w:szCs w:val="24"/>
        </w:rPr>
        <w:t xml:space="preserve"> zidentyfikowanych podczas cyklicznie prowadzonej oceny nadużyć finansowych. </w:t>
      </w:r>
    </w:p>
    <w:p w14:paraId="44E2B1DD" w14:textId="69111896" w:rsidR="000007A7" w:rsidRPr="00CB5512" w:rsidRDefault="000007A7" w:rsidP="00D634D6">
      <w:pPr>
        <w:pStyle w:val="Akapitzlist"/>
        <w:numPr>
          <w:ilvl w:val="0"/>
          <w:numId w:val="25"/>
        </w:numPr>
        <w:spacing w:line="360" w:lineRule="auto"/>
        <w:jc w:val="both"/>
        <w:rPr>
          <w:sz w:val="24"/>
          <w:szCs w:val="24"/>
        </w:rPr>
      </w:pPr>
      <w:r w:rsidRPr="00CB5512">
        <w:rPr>
          <w:sz w:val="24"/>
          <w:szCs w:val="24"/>
        </w:rPr>
        <w:t>Bieżąca kontrola wewnątrz instytucji polegająca m.in. samokontroli spra</w:t>
      </w:r>
      <w:r w:rsidR="008A18D5" w:rsidRPr="00CB5512">
        <w:rPr>
          <w:sz w:val="24"/>
          <w:szCs w:val="24"/>
        </w:rPr>
        <w:t>wowanej przez każdego pracownika w zakresie jakości i poprawności wykonywanych przez każdego pracownika w zakresie jakości i poprawności wykonywanych przez niego czynności, kontroli pionowej sprawowanej w trybie bezpośredniego nadzoru przez kierowników</w:t>
      </w:r>
      <w:r w:rsidR="00AF2B99" w:rsidRPr="00CB5512">
        <w:rPr>
          <w:sz w:val="24"/>
          <w:szCs w:val="24"/>
        </w:rPr>
        <w:t xml:space="preserve"> wszystkich szczebli zarządzania w stosunku do podległych im pracowników, weryfikacji dokumentacji w oparciu o zasadę „dwóch par oczu”</w:t>
      </w:r>
    </w:p>
    <w:p w14:paraId="5D304997" w14:textId="4FE92E80" w:rsidR="00D52F56" w:rsidRPr="00CB5512" w:rsidRDefault="00AF2B99" w:rsidP="00D634D6">
      <w:pPr>
        <w:pStyle w:val="Akapitzlist"/>
        <w:numPr>
          <w:ilvl w:val="0"/>
          <w:numId w:val="25"/>
        </w:numPr>
        <w:spacing w:line="360" w:lineRule="auto"/>
        <w:jc w:val="both"/>
        <w:rPr>
          <w:sz w:val="24"/>
          <w:szCs w:val="24"/>
        </w:rPr>
      </w:pPr>
      <w:r w:rsidRPr="00CB5512">
        <w:rPr>
          <w:sz w:val="24"/>
          <w:szCs w:val="24"/>
        </w:rPr>
        <w:t>Kontrole projektów, które stanowią mechanizm kontrolny zmniejszający ryzyko wystąpienia nadużyć finansowych oraz zwiększający prawdopodobieństwo ich wykrycia</w:t>
      </w:r>
    </w:p>
    <w:p w14:paraId="0F68D886" w14:textId="3FA9C695" w:rsidR="00AF2B99" w:rsidRPr="00CB5512" w:rsidRDefault="00AF2B99" w:rsidP="00D634D6">
      <w:pPr>
        <w:pStyle w:val="Akapitzlist"/>
        <w:numPr>
          <w:ilvl w:val="0"/>
          <w:numId w:val="25"/>
        </w:numPr>
        <w:spacing w:line="360" w:lineRule="auto"/>
        <w:jc w:val="both"/>
        <w:rPr>
          <w:sz w:val="24"/>
          <w:szCs w:val="24"/>
        </w:rPr>
      </w:pPr>
      <w:r w:rsidRPr="00CB5512">
        <w:rPr>
          <w:sz w:val="24"/>
          <w:szCs w:val="24"/>
        </w:rPr>
        <w:t>Zapewnienie rozdzielności funkcji i odpowiednie przypisanie odpowiedzialności.</w:t>
      </w:r>
    </w:p>
    <w:p w14:paraId="644BACBF" w14:textId="64FF4D52" w:rsidR="00AF2B99" w:rsidRPr="00CB5512" w:rsidRDefault="00D52F56" w:rsidP="00D634D6">
      <w:pPr>
        <w:spacing w:line="360" w:lineRule="auto"/>
        <w:jc w:val="both"/>
        <w:rPr>
          <w:b/>
          <w:sz w:val="24"/>
          <w:szCs w:val="24"/>
        </w:rPr>
      </w:pPr>
      <w:r w:rsidRPr="00CB5512">
        <w:rPr>
          <w:b/>
          <w:sz w:val="24"/>
          <w:szCs w:val="24"/>
        </w:rPr>
        <w:t>4.</w:t>
      </w:r>
      <w:r w:rsidR="00AF2B99" w:rsidRPr="00CB5512">
        <w:rPr>
          <w:b/>
          <w:sz w:val="24"/>
          <w:szCs w:val="24"/>
        </w:rPr>
        <w:t>Przeciwdziałanie wystąpieniu konfliktu interesów</w:t>
      </w:r>
    </w:p>
    <w:p w14:paraId="7C7DBCB2" w14:textId="25C68861" w:rsidR="00AF2B99" w:rsidRPr="00CB5512" w:rsidRDefault="00AF2B99" w:rsidP="00D634D6">
      <w:pPr>
        <w:spacing w:line="360" w:lineRule="auto"/>
        <w:jc w:val="both"/>
        <w:rPr>
          <w:sz w:val="24"/>
          <w:szCs w:val="24"/>
        </w:rPr>
      </w:pPr>
      <w:r w:rsidRPr="00CB5512">
        <w:rPr>
          <w:sz w:val="24"/>
          <w:szCs w:val="24"/>
        </w:rPr>
        <w:t xml:space="preserve">Zgodnie z treścią art. </w:t>
      </w:r>
      <w:r w:rsidR="00DB4DAA" w:rsidRPr="00CB5512">
        <w:rPr>
          <w:sz w:val="24"/>
          <w:szCs w:val="24"/>
        </w:rPr>
        <w:t xml:space="preserve">61 </w:t>
      </w:r>
      <w:r w:rsidRPr="00CB5512">
        <w:rPr>
          <w:sz w:val="24"/>
          <w:szCs w:val="24"/>
        </w:rPr>
        <w:t xml:space="preserve">rozporządzenia finansowego </w:t>
      </w:r>
      <w:r w:rsidR="00870839" w:rsidRPr="00CB5512">
        <w:rPr>
          <w:sz w:val="24"/>
          <w:szCs w:val="24"/>
        </w:rPr>
        <w:t xml:space="preserve">konflikt interesów istnieje wówczas, gdy bezstronne i obiektywne pełnienie funkcji podmiotu działającego w sferze finansów lub innej osoby uczestniczącej w wykonaniu budżetu, zarządzaniu budżetem, audycie lub kontroli budżetu, jest zagrożone z uwagi na względy rodzinne, emocjonalne, sympatie polityczne lub przynależność państwową, interes gospodarczy lub jakiekolwiek inne interesy wspólne </w:t>
      </w:r>
      <w:r w:rsidR="001B7936">
        <w:rPr>
          <w:sz w:val="24"/>
          <w:szCs w:val="24"/>
        </w:rPr>
        <w:t xml:space="preserve">                 </w:t>
      </w:r>
      <w:r w:rsidR="00870839" w:rsidRPr="00CB5512">
        <w:rPr>
          <w:sz w:val="24"/>
          <w:szCs w:val="24"/>
        </w:rPr>
        <w:t>z beneficjentem.</w:t>
      </w:r>
    </w:p>
    <w:p w14:paraId="7157E99F" w14:textId="3DC99F06" w:rsidR="00870839" w:rsidRPr="00CB5512" w:rsidRDefault="00870839" w:rsidP="00D634D6">
      <w:pPr>
        <w:spacing w:line="360" w:lineRule="auto"/>
        <w:jc w:val="both"/>
        <w:rPr>
          <w:sz w:val="24"/>
          <w:szCs w:val="24"/>
        </w:rPr>
      </w:pPr>
      <w:r w:rsidRPr="00CB5512">
        <w:rPr>
          <w:sz w:val="24"/>
          <w:szCs w:val="24"/>
        </w:rPr>
        <w:t>Celem działa</w:t>
      </w:r>
      <w:r w:rsidR="005239F6" w:rsidRPr="00CB5512">
        <w:rPr>
          <w:sz w:val="24"/>
          <w:szCs w:val="24"/>
        </w:rPr>
        <w:t>ń w zakresie przeciwdziałania występowania konfliktów interesów jest minimalizowanie negatywnych skutków w przypadku wystąpienia rzeczywistego konfliktu interesów poprzez:</w:t>
      </w:r>
    </w:p>
    <w:p w14:paraId="7AE687BC" w14:textId="5FFA806C" w:rsidR="005239F6" w:rsidRPr="00CB5512" w:rsidRDefault="005239F6" w:rsidP="00D634D6">
      <w:pPr>
        <w:pStyle w:val="Akapitzlist"/>
        <w:numPr>
          <w:ilvl w:val="0"/>
          <w:numId w:val="10"/>
        </w:numPr>
        <w:spacing w:line="360" w:lineRule="auto"/>
        <w:jc w:val="both"/>
        <w:rPr>
          <w:sz w:val="24"/>
          <w:szCs w:val="24"/>
        </w:rPr>
      </w:pPr>
      <w:r w:rsidRPr="00CB5512">
        <w:rPr>
          <w:sz w:val="24"/>
          <w:szCs w:val="24"/>
        </w:rPr>
        <w:t>Zdefiniowanie potencjalnych zagrożeń i ciągłego ich monitorowania;</w:t>
      </w:r>
    </w:p>
    <w:p w14:paraId="7AE511AA" w14:textId="55229183" w:rsidR="005239F6" w:rsidRPr="00CB5512" w:rsidRDefault="005239F6" w:rsidP="00D634D6">
      <w:pPr>
        <w:pStyle w:val="Akapitzlist"/>
        <w:numPr>
          <w:ilvl w:val="0"/>
          <w:numId w:val="10"/>
        </w:numPr>
        <w:spacing w:line="360" w:lineRule="auto"/>
        <w:jc w:val="both"/>
        <w:rPr>
          <w:sz w:val="24"/>
          <w:szCs w:val="24"/>
        </w:rPr>
      </w:pPr>
      <w:r w:rsidRPr="00CB5512">
        <w:rPr>
          <w:sz w:val="24"/>
          <w:szCs w:val="24"/>
        </w:rPr>
        <w:lastRenderedPageBreak/>
        <w:t>Bezwzględne przeciwdziałanie potencjalnym, pozornym i rzeczywistym konfliktom interesów;</w:t>
      </w:r>
    </w:p>
    <w:p w14:paraId="2A353A43" w14:textId="394C7BC1" w:rsidR="005239F6" w:rsidRPr="00CB5512" w:rsidRDefault="005239F6" w:rsidP="00D634D6">
      <w:pPr>
        <w:pStyle w:val="Akapitzlist"/>
        <w:numPr>
          <w:ilvl w:val="0"/>
          <w:numId w:val="10"/>
        </w:numPr>
        <w:spacing w:line="360" w:lineRule="auto"/>
        <w:jc w:val="both"/>
        <w:rPr>
          <w:sz w:val="24"/>
          <w:szCs w:val="24"/>
        </w:rPr>
      </w:pPr>
      <w:r w:rsidRPr="00CB5512">
        <w:rPr>
          <w:sz w:val="24"/>
          <w:szCs w:val="24"/>
        </w:rPr>
        <w:t>Stałe edukowanie pracowników w zakresie przeciwdziałania konfliktom interesu oraz promowanie postaw etycznych;</w:t>
      </w:r>
    </w:p>
    <w:p w14:paraId="463469DD" w14:textId="23D364B0" w:rsidR="005239F6" w:rsidRPr="00CB5512" w:rsidRDefault="005239F6" w:rsidP="00D634D6">
      <w:pPr>
        <w:pStyle w:val="Akapitzlist"/>
        <w:numPr>
          <w:ilvl w:val="0"/>
          <w:numId w:val="10"/>
        </w:numPr>
        <w:spacing w:line="360" w:lineRule="auto"/>
        <w:jc w:val="both"/>
        <w:rPr>
          <w:sz w:val="24"/>
          <w:szCs w:val="24"/>
        </w:rPr>
      </w:pPr>
      <w:r w:rsidRPr="00CB5512">
        <w:rPr>
          <w:sz w:val="24"/>
          <w:szCs w:val="24"/>
        </w:rPr>
        <w:t>Bieżące rozwiązywanie sytuacji problemowych;</w:t>
      </w:r>
    </w:p>
    <w:p w14:paraId="7FCA74E6" w14:textId="2334507B" w:rsidR="005239F6" w:rsidRPr="00CB5512" w:rsidRDefault="005239F6" w:rsidP="00D634D6">
      <w:pPr>
        <w:pStyle w:val="Akapitzlist"/>
        <w:numPr>
          <w:ilvl w:val="0"/>
          <w:numId w:val="10"/>
        </w:numPr>
        <w:spacing w:line="360" w:lineRule="auto"/>
        <w:jc w:val="both"/>
        <w:rPr>
          <w:sz w:val="24"/>
          <w:szCs w:val="24"/>
        </w:rPr>
      </w:pPr>
      <w:r w:rsidRPr="00CB5512">
        <w:rPr>
          <w:sz w:val="24"/>
          <w:szCs w:val="24"/>
        </w:rPr>
        <w:t>Zachęcanie do informowania o zaistniałych problemach i podejrzeniach wystąpienia konfliktów interesów;</w:t>
      </w:r>
    </w:p>
    <w:p w14:paraId="2D61C3CD" w14:textId="35040263" w:rsidR="005239F6" w:rsidRPr="00CB5512" w:rsidRDefault="005239F6" w:rsidP="00D634D6">
      <w:pPr>
        <w:pStyle w:val="Akapitzlist"/>
        <w:numPr>
          <w:ilvl w:val="0"/>
          <w:numId w:val="10"/>
        </w:numPr>
        <w:spacing w:line="360" w:lineRule="auto"/>
        <w:jc w:val="both"/>
        <w:rPr>
          <w:sz w:val="24"/>
          <w:szCs w:val="24"/>
        </w:rPr>
      </w:pPr>
      <w:r w:rsidRPr="00CB5512">
        <w:rPr>
          <w:sz w:val="24"/>
          <w:szCs w:val="24"/>
        </w:rPr>
        <w:t>Zachęcanie do podnoszenia świadomości w zakresie wykrywania i przeciwdziałania wystąpieniu ww. konfliktów.</w:t>
      </w:r>
    </w:p>
    <w:p w14:paraId="75DC5545" w14:textId="4C6AC562" w:rsidR="005239F6" w:rsidRPr="00CB5512" w:rsidRDefault="005239F6" w:rsidP="00D634D6">
      <w:pPr>
        <w:spacing w:line="360" w:lineRule="auto"/>
        <w:jc w:val="both"/>
        <w:rPr>
          <w:sz w:val="24"/>
          <w:szCs w:val="24"/>
        </w:rPr>
      </w:pPr>
      <w:r w:rsidRPr="00CB5512">
        <w:rPr>
          <w:sz w:val="24"/>
          <w:szCs w:val="24"/>
        </w:rPr>
        <w:t xml:space="preserve">Procesami w szczególności narażonymi na wystąpienie rzeczywistego konfliktu interesów </w:t>
      </w:r>
      <w:r w:rsidR="001B7936">
        <w:rPr>
          <w:sz w:val="24"/>
          <w:szCs w:val="24"/>
        </w:rPr>
        <w:t xml:space="preserve">         </w:t>
      </w:r>
      <w:r w:rsidRPr="00CB5512">
        <w:rPr>
          <w:sz w:val="24"/>
          <w:szCs w:val="24"/>
        </w:rPr>
        <w:t>w Urzędzie mogą być m.in.:</w:t>
      </w:r>
    </w:p>
    <w:p w14:paraId="18F4B5D2" w14:textId="3881EF4A" w:rsidR="005239F6" w:rsidRPr="00CB5512" w:rsidRDefault="005239F6" w:rsidP="00D634D6">
      <w:pPr>
        <w:pStyle w:val="Akapitzlist"/>
        <w:numPr>
          <w:ilvl w:val="0"/>
          <w:numId w:val="11"/>
        </w:numPr>
        <w:spacing w:line="360" w:lineRule="auto"/>
        <w:jc w:val="both"/>
        <w:rPr>
          <w:sz w:val="24"/>
          <w:szCs w:val="24"/>
        </w:rPr>
      </w:pPr>
      <w:r w:rsidRPr="00CB5512">
        <w:rPr>
          <w:sz w:val="24"/>
          <w:szCs w:val="24"/>
        </w:rPr>
        <w:t>Przeprowadzenie zamówień publicznych;</w:t>
      </w:r>
    </w:p>
    <w:p w14:paraId="6BC5CB70" w14:textId="344A39F0" w:rsidR="005239F6" w:rsidRPr="004029E5" w:rsidRDefault="005239F6" w:rsidP="00D634D6">
      <w:pPr>
        <w:pStyle w:val="Akapitzlist"/>
        <w:numPr>
          <w:ilvl w:val="0"/>
          <w:numId w:val="11"/>
        </w:numPr>
        <w:spacing w:line="360" w:lineRule="auto"/>
        <w:jc w:val="both"/>
        <w:rPr>
          <w:sz w:val="24"/>
          <w:szCs w:val="24"/>
        </w:rPr>
      </w:pPr>
      <w:r w:rsidRPr="004029E5">
        <w:rPr>
          <w:sz w:val="24"/>
          <w:szCs w:val="24"/>
        </w:rPr>
        <w:t xml:space="preserve">Rozpatrywanie środków odwoławczych </w:t>
      </w:r>
    </w:p>
    <w:p w14:paraId="125775BB" w14:textId="1FD2E36F" w:rsidR="005239F6" w:rsidRPr="004029E5" w:rsidRDefault="005239F6" w:rsidP="00D634D6">
      <w:pPr>
        <w:pStyle w:val="Akapitzlist"/>
        <w:numPr>
          <w:ilvl w:val="0"/>
          <w:numId w:val="11"/>
        </w:numPr>
        <w:spacing w:line="360" w:lineRule="auto"/>
        <w:jc w:val="both"/>
        <w:rPr>
          <w:sz w:val="24"/>
          <w:szCs w:val="24"/>
        </w:rPr>
      </w:pPr>
      <w:r w:rsidRPr="004029E5">
        <w:rPr>
          <w:sz w:val="24"/>
          <w:szCs w:val="24"/>
        </w:rPr>
        <w:t>Prowadzenie kontroli (np. ryzyko ograniczenia zastrzeżeń w wynikach kontroli wskutek wystąpienia konfliktu interesów);</w:t>
      </w:r>
    </w:p>
    <w:p w14:paraId="786BDAE2" w14:textId="0A064738" w:rsidR="005239F6" w:rsidRPr="00CB5512" w:rsidRDefault="005239F6" w:rsidP="00D634D6">
      <w:pPr>
        <w:pStyle w:val="Akapitzlist"/>
        <w:numPr>
          <w:ilvl w:val="0"/>
          <w:numId w:val="11"/>
        </w:numPr>
        <w:spacing w:line="360" w:lineRule="auto"/>
        <w:jc w:val="both"/>
        <w:rPr>
          <w:sz w:val="24"/>
          <w:szCs w:val="24"/>
        </w:rPr>
      </w:pPr>
      <w:r w:rsidRPr="00CB5512">
        <w:rPr>
          <w:sz w:val="24"/>
          <w:szCs w:val="24"/>
        </w:rPr>
        <w:t>Informowanie o nieprawidłowościach (np. ryzyko nieuznania danej sytuacji za nieprawidłowość, pomimo istnienia do tego przesłanek, ze względu na konflikt interesów);</w:t>
      </w:r>
    </w:p>
    <w:p w14:paraId="37885FB3" w14:textId="77777777" w:rsidR="00B336F1" w:rsidRPr="00CB5512" w:rsidRDefault="0058223C" w:rsidP="00D634D6">
      <w:pPr>
        <w:pStyle w:val="Akapitzlist"/>
        <w:numPr>
          <w:ilvl w:val="0"/>
          <w:numId w:val="11"/>
        </w:numPr>
        <w:spacing w:line="360" w:lineRule="auto"/>
        <w:jc w:val="both"/>
        <w:rPr>
          <w:sz w:val="24"/>
          <w:szCs w:val="24"/>
        </w:rPr>
      </w:pPr>
      <w:r w:rsidRPr="00CB5512">
        <w:rPr>
          <w:sz w:val="24"/>
          <w:szCs w:val="24"/>
        </w:rPr>
        <w:t>Weryfikacja wniosków o płatność, poświadczeń i deklaracji wydatków (certyfikacja wydatków o niedostatecznie zweryfikowanych lub niekwalifikowanych w wyniku wystąpienia konfliktu interesów)</w:t>
      </w:r>
      <w:r w:rsidR="00B336F1" w:rsidRPr="00CB5512">
        <w:rPr>
          <w:sz w:val="24"/>
          <w:szCs w:val="24"/>
        </w:rPr>
        <w:t>.</w:t>
      </w:r>
    </w:p>
    <w:p w14:paraId="0F51A23B" w14:textId="0B1A11B7" w:rsidR="00AF2B99" w:rsidRPr="00CB5512" w:rsidRDefault="00B336F1" w:rsidP="00D634D6">
      <w:pPr>
        <w:spacing w:line="360" w:lineRule="auto"/>
        <w:jc w:val="both"/>
        <w:rPr>
          <w:sz w:val="24"/>
          <w:szCs w:val="24"/>
        </w:rPr>
      </w:pPr>
      <w:r w:rsidRPr="00CB5512">
        <w:rPr>
          <w:sz w:val="24"/>
          <w:szCs w:val="24"/>
        </w:rPr>
        <w:t>W celu przeciwdziałania temu zjawisku w Urzędzie Miasta Pruszkowa funkcjonują następujące mechanizmy zapobiegające wystąpieniu konfliktu interesów:</w:t>
      </w:r>
    </w:p>
    <w:p w14:paraId="6E98CBD1" w14:textId="19BF0395" w:rsidR="00DB4DAA" w:rsidRPr="00CB5512" w:rsidRDefault="00B336F1" w:rsidP="00D634D6">
      <w:pPr>
        <w:pStyle w:val="Akapitzlist"/>
        <w:numPr>
          <w:ilvl w:val="0"/>
          <w:numId w:val="13"/>
        </w:numPr>
        <w:shd w:val="clear" w:color="auto" w:fill="FFFFFF"/>
        <w:spacing w:line="360" w:lineRule="auto"/>
        <w:jc w:val="both"/>
        <w:rPr>
          <w:rFonts w:eastAsia="Times New Roman" w:cs="Times New Roman"/>
          <w:sz w:val="24"/>
          <w:szCs w:val="24"/>
          <w:lang w:eastAsia="pl-PL"/>
        </w:rPr>
      </w:pPr>
      <w:r w:rsidRPr="00CB5512">
        <w:rPr>
          <w:sz w:val="24"/>
          <w:szCs w:val="24"/>
        </w:rPr>
        <w:t xml:space="preserve">Podpisywanie przez pracowników odpowiednich deklaracji/oświadczeń </w:t>
      </w:r>
      <w:r w:rsidR="001B7936">
        <w:rPr>
          <w:sz w:val="24"/>
          <w:szCs w:val="24"/>
        </w:rPr>
        <w:t xml:space="preserve">                                 </w:t>
      </w:r>
      <w:r w:rsidRPr="00CB5512">
        <w:rPr>
          <w:sz w:val="24"/>
          <w:szCs w:val="24"/>
        </w:rPr>
        <w:t xml:space="preserve">o bezstronności. W sytuacji, gdy pracownik posiada wiedzę, iż może wystąpić konflikt interesów zagrażający jego bezstronności lub niezależności w ramach danego postepowania, niezwłocznie informuje o tym fakcie przełożonego i wnioskuje </w:t>
      </w:r>
      <w:r w:rsidR="001B7936">
        <w:rPr>
          <w:sz w:val="24"/>
          <w:szCs w:val="24"/>
        </w:rPr>
        <w:t xml:space="preserve">                     </w:t>
      </w:r>
      <w:r w:rsidRPr="00CB5512">
        <w:rPr>
          <w:sz w:val="24"/>
          <w:szCs w:val="24"/>
        </w:rPr>
        <w:t>o wyłączenie z postępowania;</w:t>
      </w:r>
    </w:p>
    <w:p w14:paraId="152B9E31" w14:textId="2698C9A2" w:rsidR="00DB4DAA" w:rsidRPr="00CB5512" w:rsidRDefault="00B336F1" w:rsidP="00D634D6">
      <w:pPr>
        <w:pStyle w:val="Akapitzlist"/>
        <w:numPr>
          <w:ilvl w:val="0"/>
          <w:numId w:val="13"/>
        </w:numPr>
        <w:shd w:val="clear" w:color="auto" w:fill="FFFFFF"/>
        <w:spacing w:line="360" w:lineRule="auto"/>
        <w:jc w:val="both"/>
        <w:rPr>
          <w:rFonts w:eastAsia="Times New Roman" w:cs="Times New Roman"/>
          <w:sz w:val="24"/>
          <w:szCs w:val="24"/>
          <w:lang w:eastAsia="pl-PL"/>
        </w:rPr>
      </w:pPr>
      <w:r w:rsidRPr="00CB5512">
        <w:rPr>
          <w:sz w:val="24"/>
          <w:szCs w:val="24"/>
        </w:rPr>
        <w:lastRenderedPageBreak/>
        <w:t xml:space="preserve">Składanie przez pracowników zaangażowanych w czynności związane </w:t>
      </w:r>
      <w:r w:rsidR="001B7936">
        <w:rPr>
          <w:sz w:val="24"/>
          <w:szCs w:val="24"/>
        </w:rPr>
        <w:t xml:space="preserve">                                        </w:t>
      </w:r>
      <w:r w:rsidRPr="00CB5512">
        <w:rPr>
          <w:sz w:val="24"/>
          <w:szCs w:val="24"/>
        </w:rPr>
        <w:t xml:space="preserve">z przygotowaniem oraz przeprowadzeniem postępowania o udzielenie zamówienia publicznego pisemnych oświadczeń o zaistnieniu lub niezaistnieniu okoliczności </w:t>
      </w:r>
      <w:r w:rsidR="001B7936">
        <w:rPr>
          <w:sz w:val="24"/>
          <w:szCs w:val="24"/>
        </w:rPr>
        <w:t xml:space="preserve">                </w:t>
      </w:r>
      <w:r w:rsidRPr="00CB5512">
        <w:rPr>
          <w:sz w:val="24"/>
          <w:szCs w:val="24"/>
        </w:rPr>
        <w:t xml:space="preserve">o których mowa w </w:t>
      </w:r>
      <w:r w:rsidR="00D52F56" w:rsidRPr="00CB5512">
        <w:rPr>
          <w:rFonts w:cs="Calibri"/>
          <w:sz w:val="24"/>
          <w:szCs w:val="24"/>
        </w:rPr>
        <w:t xml:space="preserve">art. 56 ust. 1  ustawy </w:t>
      </w:r>
      <w:r w:rsidR="00DB4DAA" w:rsidRPr="00CB5512">
        <w:rPr>
          <w:rFonts w:eastAsia="Times New Roman" w:cs="Times New Roman"/>
          <w:sz w:val="24"/>
          <w:szCs w:val="24"/>
          <w:lang w:eastAsia="pl-PL"/>
        </w:rPr>
        <w:t xml:space="preserve"> z dnia 11 września 2019 r. - Prawo zamówień publicznych (Dz. U. poz. 2019 z </w:t>
      </w:r>
      <w:proofErr w:type="spellStart"/>
      <w:r w:rsidR="00DB4DAA" w:rsidRPr="00CB5512">
        <w:rPr>
          <w:rFonts w:eastAsia="Times New Roman" w:cs="Times New Roman"/>
          <w:sz w:val="24"/>
          <w:szCs w:val="24"/>
          <w:lang w:eastAsia="pl-PL"/>
        </w:rPr>
        <w:t>późn</w:t>
      </w:r>
      <w:proofErr w:type="spellEnd"/>
      <w:r w:rsidR="00DB4DAA" w:rsidRPr="00CB5512">
        <w:rPr>
          <w:rFonts w:eastAsia="Times New Roman" w:cs="Times New Roman"/>
          <w:sz w:val="24"/>
          <w:szCs w:val="24"/>
          <w:lang w:eastAsia="pl-PL"/>
        </w:rPr>
        <w:t>. zm.)</w:t>
      </w:r>
    </w:p>
    <w:p w14:paraId="28022D7D" w14:textId="456075C6" w:rsidR="00B336F1" w:rsidRPr="00CB5512" w:rsidRDefault="00B336F1" w:rsidP="00D634D6">
      <w:pPr>
        <w:pStyle w:val="Akapitzlist"/>
        <w:numPr>
          <w:ilvl w:val="0"/>
          <w:numId w:val="13"/>
        </w:numPr>
        <w:spacing w:line="360" w:lineRule="auto"/>
        <w:jc w:val="both"/>
        <w:rPr>
          <w:sz w:val="24"/>
          <w:szCs w:val="24"/>
        </w:rPr>
      </w:pPr>
      <w:r w:rsidRPr="00CB5512">
        <w:rPr>
          <w:sz w:val="24"/>
          <w:szCs w:val="24"/>
        </w:rPr>
        <w:t>oraz oświadczeń o braku konfliktu interesów;</w:t>
      </w:r>
    </w:p>
    <w:p w14:paraId="5572DC03" w14:textId="4D122886" w:rsidR="00B336F1" w:rsidRPr="00CB5512" w:rsidRDefault="00B336F1" w:rsidP="00D634D6">
      <w:pPr>
        <w:pStyle w:val="Akapitzlist"/>
        <w:numPr>
          <w:ilvl w:val="0"/>
          <w:numId w:val="13"/>
        </w:numPr>
        <w:spacing w:line="360" w:lineRule="auto"/>
        <w:jc w:val="both"/>
        <w:rPr>
          <w:sz w:val="24"/>
          <w:szCs w:val="24"/>
        </w:rPr>
      </w:pPr>
      <w:r w:rsidRPr="00CB5512">
        <w:rPr>
          <w:sz w:val="24"/>
          <w:szCs w:val="24"/>
        </w:rPr>
        <w:t>Stosowanie zasady „dwóch par oczu”;</w:t>
      </w:r>
    </w:p>
    <w:p w14:paraId="4CA97758" w14:textId="404F59F7" w:rsidR="00B336F1" w:rsidRPr="00CB5512" w:rsidRDefault="00B336F1" w:rsidP="00D634D6">
      <w:pPr>
        <w:pStyle w:val="Akapitzlist"/>
        <w:numPr>
          <w:ilvl w:val="0"/>
          <w:numId w:val="13"/>
        </w:numPr>
        <w:spacing w:line="360" w:lineRule="auto"/>
        <w:jc w:val="both"/>
        <w:rPr>
          <w:sz w:val="24"/>
          <w:szCs w:val="24"/>
        </w:rPr>
      </w:pPr>
      <w:r w:rsidRPr="00CB5512">
        <w:rPr>
          <w:sz w:val="24"/>
          <w:szCs w:val="24"/>
        </w:rPr>
        <w:t>Weryfikowanie i zatwierdzanie zadań przez bezpośredniego przełożonego ;</w:t>
      </w:r>
    </w:p>
    <w:p w14:paraId="44B92B73" w14:textId="05ABCCA9" w:rsidR="00B336F1" w:rsidRPr="00CB5512" w:rsidRDefault="00B336F1" w:rsidP="00D634D6">
      <w:pPr>
        <w:pStyle w:val="Akapitzlist"/>
        <w:numPr>
          <w:ilvl w:val="0"/>
          <w:numId w:val="13"/>
        </w:numPr>
        <w:spacing w:line="360" w:lineRule="auto"/>
        <w:jc w:val="both"/>
        <w:rPr>
          <w:sz w:val="24"/>
          <w:szCs w:val="24"/>
        </w:rPr>
      </w:pPr>
      <w:r w:rsidRPr="00CB5512">
        <w:rPr>
          <w:sz w:val="24"/>
          <w:szCs w:val="24"/>
        </w:rPr>
        <w:t>Zapewnienie odpowiedniego podziału zadań pomiędzy poszczególnymi pracownikami, zgodny z zasadą rozdziału funkcji kluczowych i mający odzwierciedlenie w opisach stanowisk pracy.</w:t>
      </w:r>
    </w:p>
    <w:p w14:paraId="2AD711A3" w14:textId="1AC25B5B" w:rsidR="00B336F1" w:rsidRPr="00CB5512" w:rsidRDefault="00B336F1" w:rsidP="00D634D6">
      <w:pPr>
        <w:spacing w:line="360" w:lineRule="auto"/>
        <w:jc w:val="both"/>
        <w:rPr>
          <w:sz w:val="24"/>
          <w:szCs w:val="24"/>
        </w:rPr>
      </w:pPr>
      <w:r w:rsidRPr="00CB5512">
        <w:rPr>
          <w:sz w:val="24"/>
          <w:szCs w:val="24"/>
        </w:rPr>
        <w:t>Zgodnie z powyższą zasadą następujące działania będą realizowane przez różnych pracowników:</w:t>
      </w:r>
    </w:p>
    <w:p w14:paraId="2D37622A" w14:textId="59014E8A" w:rsidR="00B336F1" w:rsidRPr="00CB5512" w:rsidRDefault="00B336F1" w:rsidP="00D634D6">
      <w:pPr>
        <w:pStyle w:val="Akapitzlist"/>
        <w:numPr>
          <w:ilvl w:val="0"/>
          <w:numId w:val="14"/>
        </w:numPr>
        <w:spacing w:line="360" w:lineRule="auto"/>
        <w:jc w:val="both"/>
        <w:rPr>
          <w:sz w:val="24"/>
          <w:szCs w:val="24"/>
        </w:rPr>
      </w:pPr>
      <w:r w:rsidRPr="00CB5512">
        <w:rPr>
          <w:sz w:val="24"/>
          <w:szCs w:val="24"/>
        </w:rPr>
        <w:t>Zawieranie porozumień/umów o dofinansowanie,</w:t>
      </w:r>
    </w:p>
    <w:p w14:paraId="2E2A39A3" w14:textId="222EE877" w:rsidR="00B336F1" w:rsidRPr="00CB5512" w:rsidRDefault="00B336F1" w:rsidP="00D634D6">
      <w:pPr>
        <w:pStyle w:val="Akapitzlist"/>
        <w:numPr>
          <w:ilvl w:val="0"/>
          <w:numId w:val="14"/>
        </w:numPr>
        <w:spacing w:line="360" w:lineRule="auto"/>
        <w:jc w:val="both"/>
        <w:rPr>
          <w:sz w:val="24"/>
          <w:szCs w:val="24"/>
        </w:rPr>
      </w:pPr>
      <w:r w:rsidRPr="00CB5512">
        <w:rPr>
          <w:sz w:val="24"/>
          <w:szCs w:val="24"/>
        </w:rPr>
        <w:t>Weryfikacja wniosków o płatność,</w:t>
      </w:r>
    </w:p>
    <w:p w14:paraId="6AD76663" w14:textId="0ECA9313" w:rsidR="00B336F1" w:rsidRPr="00CB5512" w:rsidRDefault="00B336F1" w:rsidP="00D634D6">
      <w:pPr>
        <w:pStyle w:val="Akapitzlist"/>
        <w:numPr>
          <w:ilvl w:val="0"/>
          <w:numId w:val="14"/>
        </w:numPr>
        <w:spacing w:line="360" w:lineRule="auto"/>
        <w:jc w:val="both"/>
        <w:rPr>
          <w:sz w:val="24"/>
          <w:szCs w:val="24"/>
        </w:rPr>
      </w:pPr>
      <w:r w:rsidRPr="00CB5512">
        <w:rPr>
          <w:sz w:val="24"/>
          <w:szCs w:val="24"/>
        </w:rPr>
        <w:t>Kontrola projektów,</w:t>
      </w:r>
    </w:p>
    <w:p w14:paraId="0C78F5EE" w14:textId="54B0EF9D" w:rsidR="00B336F1" w:rsidRPr="00CB5512" w:rsidRDefault="00B336F1" w:rsidP="00D634D6">
      <w:pPr>
        <w:pStyle w:val="Akapitzlist"/>
        <w:numPr>
          <w:ilvl w:val="0"/>
          <w:numId w:val="14"/>
        </w:numPr>
        <w:spacing w:line="360" w:lineRule="auto"/>
        <w:jc w:val="both"/>
        <w:rPr>
          <w:sz w:val="24"/>
          <w:szCs w:val="24"/>
        </w:rPr>
      </w:pPr>
      <w:r w:rsidRPr="00CB5512">
        <w:rPr>
          <w:sz w:val="24"/>
          <w:szCs w:val="24"/>
        </w:rPr>
        <w:t>Certyfikacja wydatków,</w:t>
      </w:r>
    </w:p>
    <w:p w14:paraId="72444F06" w14:textId="4E7C1176" w:rsidR="00B336F1" w:rsidRPr="00CB5512" w:rsidRDefault="00B336F1" w:rsidP="00D634D6">
      <w:pPr>
        <w:spacing w:line="360" w:lineRule="auto"/>
        <w:jc w:val="both"/>
        <w:rPr>
          <w:sz w:val="24"/>
          <w:szCs w:val="24"/>
        </w:rPr>
      </w:pPr>
      <w:r w:rsidRPr="00CB5512">
        <w:rPr>
          <w:sz w:val="24"/>
          <w:szCs w:val="24"/>
        </w:rPr>
        <w:t>Taki podział obowiązków zapobiega występowaniu konfliktu interesów, czyli sytuacji, w której pracownik podejmujący rozs</w:t>
      </w:r>
      <w:r w:rsidR="00B126F7" w:rsidRPr="00CB5512">
        <w:rPr>
          <w:sz w:val="24"/>
          <w:szCs w:val="24"/>
        </w:rPr>
        <w:t>trzygnięcie w określonej sferze spraw publicznych lub uczestniczący w przygotowaniu tego rozstrzygnięcia, mógłby mieć osobisty interes w sposobie załatwiania sprawy, która przeważałaby nad troską o interes publiczny.</w:t>
      </w:r>
    </w:p>
    <w:p w14:paraId="5A9F2751" w14:textId="72F15AC4" w:rsidR="00B126F7" w:rsidRPr="00CB5512" w:rsidRDefault="00B126F7" w:rsidP="00D634D6">
      <w:pPr>
        <w:pStyle w:val="Akapitzlist"/>
        <w:numPr>
          <w:ilvl w:val="0"/>
          <w:numId w:val="15"/>
        </w:numPr>
        <w:spacing w:line="360" w:lineRule="auto"/>
        <w:jc w:val="both"/>
        <w:rPr>
          <w:sz w:val="24"/>
          <w:szCs w:val="24"/>
        </w:rPr>
      </w:pPr>
      <w:r w:rsidRPr="00CB5512">
        <w:rPr>
          <w:sz w:val="24"/>
          <w:szCs w:val="24"/>
        </w:rPr>
        <w:t>Odpowiednie szkolenia zwiększające poziom świadomości pracowników w tym obszarze</w:t>
      </w:r>
    </w:p>
    <w:p w14:paraId="53644290" w14:textId="77777777" w:rsidR="00B126F7" w:rsidRPr="00CB5512" w:rsidRDefault="00B126F7" w:rsidP="00D634D6">
      <w:pPr>
        <w:pStyle w:val="Akapitzlist"/>
        <w:spacing w:line="360" w:lineRule="auto"/>
        <w:jc w:val="both"/>
        <w:rPr>
          <w:b/>
          <w:bCs/>
          <w:sz w:val="24"/>
          <w:szCs w:val="24"/>
        </w:rPr>
      </w:pPr>
    </w:p>
    <w:p w14:paraId="303417A0" w14:textId="0C59281B" w:rsidR="00B126F7" w:rsidRPr="00CB5512" w:rsidRDefault="00B126F7" w:rsidP="00D634D6">
      <w:pPr>
        <w:pStyle w:val="Akapitzlist"/>
        <w:numPr>
          <w:ilvl w:val="0"/>
          <w:numId w:val="18"/>
        </w:numPr>
        <w:spacing w:line="360" w:lineRule="auto"/>
        <w:jc w:val="both"/>
        <w:rPr>
          <w:b/>
          <w:bCs/>
          <w:sz w:val="24"/>
          <w:szCs w:val="24"/>
        </w:rPr>
      </w:pPr>
      <w:r w:rsidRPr="00CB5512">
        <w:rPr>
          <w:b/>
          <w:bCs/>
          <w:sz w:val="24"/>
          <w:szCs w:val="24"/>
        </w:rPr>
        <w:t>Podział obowiązków w zakresie przeciwdziałania i zwalczania nadużyć finansowych</w:t>
      </w:r>
    </w:p>
    <w:p w14:paraId="38FDB241" w14:textId="673E886C" w:rsidR="00B126F7" w:rsidRPr="00CB5512" w:rsidRDefault="00B126F7" w:rsidP="00D634D6">
      <w:pPr>
        <w:spacing w:line="360" w:lineRule="auto"/>
        <w:jc w:val="both"/>
        <w:rPr>
          <w:sz w:val="24"/>
          <w:szCs w:val="24"/>
        </w:rPr>
      </w:pPr>
      <w:r w:rsidRPr="00CB5512">
        <w:rPr>
          <w:sz w:val="24"/>
          <w:szCs w:val="24"/>
        </w:rPr>
        <w:t xml:space="preserve">Za bieżące zarządzanie ryzykiem nadużyć finansowych odpowiadają </w:t>
      </w:r>
      <w:r w:rsidR="00E84252" w:rsidRPr="00CB5512">
        <w:rPr>
          <w:sz w:val="24"/>
          <w:szCs w:val="24"/>
        </w:rPr>
        <w:t>wszyscy pracownicy Jednostki Realizującej Projekt</w:t>
      </w:r>
      <w:r w:rsidRPr="00CB5512">
        <w:rPr>
          <w:sz w:val="24"/>
          <w:szCs w:val="24"/>
        </w:rPr>
        <w:t>. Osoby te odpowiedzialne są w szczególności za:</w:t>
      </w:r>
    </w:p>
    <w:p w14:paraId="74FDE425" w14:textId="1B93B87A" w:rsidR="00B126F7" w:rsidRPr="00CB5512" w:rsidRDefault="00B126F7" w:rsidP="00D634D6">
      <w:pPr>
        <w:pStyle w:val="Akapitzlist"/>
        <w:numPr>
          <w:ilvl w:val="0"/>
          <w:numId w:val="16"/>
        </w:numPr>
        <w:spacing w:line="360" w:lineRule="auto"/>
        <w:jc w:val="both"/>
        <w:rPr>
          <w:sz w:val="24"/>
          <w:szCs w:val="24"/>
        </w:rPr>
      </w:pPr>
      <w:r w:rsidRPr="00CB5512">
        <w:rPr>
          <w:sz w:val="24"/>
          <w:szCs w:val="24"/>
        </w:rPr>
        <w:lastRenderedPageBreak/>
        <w:t xml:space="preserve">Zapewnienie skutecznego, efektywnego i adekwatnego systemu kontroli </w:t>
      </w:r>
      <w:r w:rsidR="00E84252" w:rsidRPr="00CB5512">
        <w:rPr>
          <w:sz w:val="24"/>
          <w:szCs w:val="24"/>
        </w:rPr>
        <w:t xml:space="preserve">wewnętrznej           </w:t>
      </w:r>
      <w:r w:rsidRPr="00CB5512">
        <w:rPr>
          <w:sz w:val="24"/>
          <w:szCs w:val="24"/>
        </w:rPr>
        <w:t xml:space="preserve"> </w:t>
      </w:r>
      <w:r w:rsidR="00B17473" w:rsidRPr="00CB5512">
        <w:rPr>
          <w:sz w:val="24"/>
          <w:szCs w:val="24"/>
        </w:rPr>
        <w:t xml:space="preserve">      </w:t>
      </w:r>
      <w:r w:rsidRPr="00CB5512">
        <w:rPr>
          <w:sz w:val="24"/>
          <w:szCs w:val="24"/>
        </w:rPr>
        <w:t>w obszarze ich odpowiedzialności;</w:t>
      </w:r>
    </w:p>
    <w:p w14:paraId="07D7D7F3" w14:textId="43E9BF65" w:rsidR="00B126F7" w:rsidRPr="00CB5512" w:rsidRDefault="00B126F7" w:rsidP="00D634D6">
      <w:pPr>
        <w:pStyle w:val="Akapitzlist"/>
        <w:numPr>
          <w:ilvl w:val="0"/>
          <w:numId w:val="16"/>
        </w:numPr>
        <w:spacing w:line="360" w:lineRule="auto"/>
        <w:jc w:val="both"/>
        <w:rPr>
          <w:sz w:val="24"/>
          <w:szCs w:val="24"/>
        </w:rPr>
      </w:pPr>
      <w:r w:rsidRPr="00CB5512">
        <w:rPr>
          <w:sz w:val="24"/>
          <w:szCs w:val="24"/>
        </w:rPr>
        <w:t>Zapobieganie i identyfikowanie nadużyć finansowych;</w:t>
      </w:r>
    </w:p>
    <w:p w14:paraId="79607196" w14:textId="2B007A98" w:rsidR="00B126F7" w:rsidRPr="00CB5512" w:rsidRDefault="00B126F7" w:rsidP="00D634D6">
      <w:pPr>
        <w:pStyle w:val="Akapitzlist"/>
        <w:numPr>
          <w:ilvl w:val="0"/>
          <w:numId w:val="16"/>
        </w:numPr>
        <w:spacing w:line="360" w:lineRule="auto"/>
        <w:jc w:val="both"/>
        <w:rPr>
          <w:sz w:val="24"/>
          <w:szCs w:val="24"/>
        </w:rPr>
      </w:pPr>
      <w:r w:rsidRPr="00CB5512">
        <w:rPr>
          <w:sz w:val="24"/>
          <w:szCs w:val="24"/>
        </w:rPr>
        <w:t>Zapewnienie należytej staranności i wdrażania działań zapobiegawczych w przypadku wykrycia nadużyć finansowych lub korupcji;</w:t>
      </w:r>
    </w:p>
    <w:p w14:paraId="564E33D7" w14:textId="27C7C607" w:rsidR="00B126F7" w:rsidRPr="00CB5512" w:rsidRDefault="00B126F7" w:rsidP="00D634D6">
      <w:pPr>
        <w:pStyle w:val="Akapitzlist"/>
        <w:numPr>
          <w:ilvl w:val="0"/>
          <w:numId w:val="16"/>
        </w:numPr>
        <w:spacing w:line="360" w:lineRule="auto"/>
        <w:jc w:val="both"/>
        <w:rPr>
          <w:sz w:val="24"/>
          <w:szCs w:val="24"/>
        </w:rPr>
      </w:pPr>
      <w:r w:rsidRPr="00CB5512">
        <w:rPr>
          <w:sz w:val="24"/>
          <w:szCs w:val="24"/>
        </w:rPr>
        <w:t>Raportowanie do właściwych instytucji o podejrzeniu wystąpienia nadużyć finansowych;</w:t>
      </w:r>
    </w:p>
    <w:p w14:paraId="0294ABDD" w14:textId="03122ED4" w:rsidR="005A1970" w:rsidRDefault="00B126F7" w:rsidP="00D634D6">
      <w:pPr>
        <w:pStyle w:val="Akapitzlist"/>
        <w:numPr>
          <w:ilvl w:val="0"/>
          <w:numId w:val="16"/>
        </w:numPr>
        <w:spacing w:line="360" w:lineRule="auto"/>
        <w:jc w:val="both"/>
        <w:rPr>
          <w:sz w:val="24"/>
          <w:szCs w:val="24"/>
        </w:rPr>
      </w:pPr>
      <w:r w:rsidRPr="00CB5512">
        <w:rPr>
          <w:sz w:val="24"/>
          <w:szCs w:val="24"/>
        </w:rPr>
        <w:t>Podejmowanie działań naprawczych.</w:t>
      </w:r>
    </w:p>
    <w:p w14:paraId="1676B6CE" w14:textId="21C1E8C7" w:rsidR="00FC610A" w:rsidRPr="00FC610A" w:rsidRDefault="00FC610A" w:rsidP="00D634D6">
      <w:pPr>
        <w:spacing w:line="360" w:lineRule="auto"/>
        <w:jc w:val="both"/>
        <w:rPr>
          <w:b/>
          <w:i/>
          <w:sz w:val="24"/>
          <w:szCs w:val="24"/>
        </w:rPr>
      </w:pPr>
      <w:r w:rsidRPr="00FC610A">
        <w:rPr>
          <w:b/>
          <w:i/>
          <w:sz w:val="24"/>
          <w:szCs w:val="24"/>
        </w:rPr>
        <w:t xml:space="preserve">Do </w:t>
      </w:r>
      <w:r>
        <w:rPr>
          <w:b/>
          <w:i/>
          <w:sz w:val="24"/>
          <w:szCs w:val="24"/>
        </w:rPr>
        <w:t xml:space="preserve">prawidłowego </w:t>
      </w:r>
      <w:r w:rsidRPr="00FC610A">
        <w:rPr>
          <w:b/>
          <w:i/>
          <w:sz w:val="24"/>
          <w:szCs w:val="24"/>
        </w:rPr>
        <w:t xml:space="preserve">zarządzania ryzykiem stosuje się </w:t>
      </w:r>
      <w:r>
        <w:rPr>
          <w:b/>
          <w:i/>
          <w:sz w:val="24"/>
          <w:szCs w:val="24"/>
        </w:rPr>
        <w:t xml:space="preserve">zapisy </w:t>
      </w:r>
      <w:r w:rsidRPr="00FC610A">
        <w:rPr>
          <w:b/>
          <w:i/>
          <w:sz w:val="24"/>
          <w:szCs w:val="24"/>
        </w:rPr>
        <w:t>analiz</w:t>
      </w:r>
      <w:r>
        <w:rPr>
          <w:b/>
          <w:i/>
          <w:sz w:val="24"/>
          <w:szCs w:val="24"/>
        </w:rPr>
        <w:t xml:space="preserve">y wystąpienia nadużyć finansowych </w:t>
      </w:r>
      <w:r>
        <w:rPr>
          <w:rFonts w:ascii="Calibri" w:hAnsi="Calibri"/>
          <w:b/>
          <w:bCs/>
        </w:rPr>
        <w:t xml:space="preserve"> </w:t>
      </w:r>
      <w:r w:rsidR="008F723B">
        <w:rPr>
          <w:b/>
          <w:i/>
          <w:sz w:val="24"/>
          <w:szCs w:val="24"/>
        </w:rPr>
        <w:t>stanowiącej</w:t>
      </w:r>
      <w:r w:rsidRPr="00FC610A">
        <w:rPr>
          <w:b/>
          <w:i/>
          <w:sz w:val="24"/>
          <w:szCs w:val="24"/>
        </w:rPr>
        <w:t xml:space="preserve"> załącznik do </w:t>
      </w:r>
      <w:r w:rsidR="00014B0C">
        <w:rPr>
          <w:b/>
          <w:i/>
          <w:sz w:val="24"/>
          <w:szCs w:val="24"/>
        </w:rPr>
        <w:t xml:space="preserve">niniejszej </w:t>
      </w:r>
      <w:r w:rsidRPr="00FC610A">
        <w:rPr>
          <w:b/>
          <w:i/>
          <w:sz w:val="24"/>
          <w:szCs w:val="24"/>
        </w:rPr>
        <w:t xml:space="preserve">procedury </w:t>
      </w:r>
    </w:p>
    <w:p w14:paraId="30076C9E" w14:textId="77777777" w:rsidR="00B126F7" w:rsidRPr="00CB5512" w:rsidRDefault="00B126F7" w:rsidP="00D634D6">
      <w:pPr>
        <w:pStyle w:val="Akapitzlist"/>
        <w:spacing w:line="360" w:lineRule="auto"/>
        <w:jc w:val="both"/>
        <w:rPr>
          <w:b/>
          <w:bCs/>
          <w:sz w:val="24"/>
          <w:szCs w:val="24"/>
        </w:rPr>
      </w:pPr>
    </w:p>
    <w:p w14:paraId="7A213BA9" w14:textId="40875E52" w:rsidR="004029E5" w:rsidRPr="004029E5" w:rsidRDefault="00B126F7" w:rsidP="00D634D6">
      <w:pPr>
        <w:pStyle w:val="Akapitzlist"/>
        <w:numPr>
          <w:ilvl w:val="0"/>
          <w:numId w:val="18"/>
        </w:numPr>
        <w:spacing w:line="360" w:lineRule="auto"/>
        <w:jc w:val="both"/>
        <w:rPr>
          <w:b/>
          <w:bCs/>
          <w:sz w:val="24"/>
          <w:szCs w:val="24"/>
        </w:rPr>
      </w:pPr>
      <w:r w:rsidRPr="00CB5512">
        <w:rPr>
          <w:b/>
          <w:bCs/>
          <w:sz w:val="24"/>
          <w:szCs w:val="24"/>
        </w:rPr>
        <w:t>Wykrywanie i identyfikacja nadużyć finansowych</w:t>
      </w:r>
    </w:p>
    <w:p w14:paraId="243A3DCB" w14:textId="77777777" w:rsidR="004029E5" w:rsidRDefault="00B126F7" w:rsidP="00D634D6">
      <w:pPr>
        <w:spacing w:line="360" w:lineRule="auto"/>
        <w:jc w:val="both"/>
        <w:rPr>
          <w:b/>
          <w:sz w:val="24"/>
          <w:szCs w:val="24"/>
        </w:rPr>
      </w:pPr>
      <w:r w:rsidRPr="00CB5512">
        <w:rPr>
          <w:b/>
          <w:sz w:val="24"/>
          <w:szCs w:val="24"/>
          <w:u w:val="single"/>
        </w:rPr>
        <w:t>Sygnały ostrzegawcze nadużyć finansowych</w:t>
      </w:r>
      <w:r w:rsidRPr="00CB5512">
        <w:rPr>
          <w:b/>
          <w:sz w:val="24"/>
          <w:szCs w:val="24"/>
        </w:rPr>
        <w:t xml:space="preserve"> </w:t>
      </w:r>
    </w:p>
    <w:p w14:paraId="3F242D72" w14:textId="549DDE8F" w:rsidR="00B126F7" w:rsidRDefault="00E84252" w:rsidP="00D634D6">
      <w:pPr>
        <w:spacing w:line="360" w:lineRule="auto"/>
        <w:jc w:val="both"/>
        <w:rPr>
          <w:sz w:val="24"/>
          <w:szCs w:val="24"/>
        </w:rPr>
      </w:pPr>
      <w:r w:rsidRPr="00CB5512">
        <w:rPr>
          <w:sz w:val="24"/>
          <w:szCs w:val="24"/>
        </w:rPr>
        <w:t>Jednostka Realizująca Projekt  jest zobowiązana</w:t>
      </w:r>
      <w:r w:rsidR="00B126F7" w:rsidRPr="00CB5512">
        <w:rPr>
          <w:sz w:val="24"/>
          <w:szCs w:val="24"/>
        </w:rPr>
        <w:t xml:space="preserve"> brać pod uwagę wszelkie sygnały ostrzegawcze nadużyć finansowych. Sygnały ostrzegawcze nadużyć finansowych to pewne szczególne znaki, wskazujące na choćby potencjalne wystąpienia nadużycia finansowego, co wiąże się z koniecznością natychmiastowej reakcji celem sprawdzenia, czy wymagane są dalsze działania. W szczególności takie sygnały powinny być dobrze znane wszystkim osobom pełniącym role związane z kontrolą dokumentów (w tym zamówień</w:t>
      </w:r>
      <w:r w:rsidRPr="00CB5512">
        <w:rPr>
          <w:sz w:val="24"/>
          <w:szCs w:val="24"/>
        </w:rPr>
        <w:t xml:space="preserve"> publicznych).</w:t>
      </w:r>
      <w:r w:rsidR="00274AF4" w:rsidRPr="00CB5512">
        <w:rPr>
          <w:sz w:val="24"/>
          <w:szCs w:val="24"/>
        </w:rPr>
        <w:t xml:space="preserve"> Sygnały ostrzegawcze powinny być w szczególności wykorzystywane przy przeprowadzaniu analizy ryzyka wystąpienia nadużycia finansowego oraz przy udzielaniu zamówień publicznych. Pracownicy zaangażowaniu w udzielenie zamówień publicznych są zobowiązani przepisami ustawy Prawo zamówień publicznych do stosowania zasad uczciwej konkurencji, równego traktowania, bezstronności, obiektywizmu, jawności i pisemności przy udzielaniu zamówień publicznych. Dodatkowo członkowie komisji przetargowej oceniają złożone oferty pod katem wystąpienia symptomów zmowy przetargowej.</w:t>
      </w:r>
    </w:p>
    <w:p w14:paraId="357BBF4A" w14:textId="77777777" w:rsidR="00D634D6" w:rsidRPr="00CB5512" w:rsidRDefault="00D634D6" w:rsidP="00D634D6">
      <w:pPr>
        <w:spacing w:line="360" w:lineRule="auto"/>
        <w:jc w:val="both"/>
        <w:rPr>
          <w:sz w:val="24"/>
          <w:szCs w:val="24"/>
        </w:rPr>
      </w:pPr>
    </w:p>
    <w:p w14:paraId="272D7091" w14:textId="77777777" w:rsidR="004029E5" w:rsidRDefault="00274AF4" w:rsidP="00D634D6">
      <w:pPr>
        <w:spacing w:line="360" w:lineRule="auto"/>
        <w:jc w:val="both"/>
        <w:rPr>
          <w:b/>
          <w:sz w:val="24"/>
          <w:szCs w:val="24"/>
          <w:u w:val="single"/>
        </w:rPr>
      </w:pPr>
      <w:r w:rsidRPr="00CB5512">
        <w:rPr>
          <w:b/>
          <w:sz w:val="24"/>
          <w:szCs w:val="24"/>
          <w:u w:val="single"/>
        </w:rPr>
        <w:lastRenderedPageBreak/>
        <w:t>System kontroli</w:t>
      </w:r>
    </w:p>
    <w:p w14:paraId="185E2D3F" w14:textId="08B6ABE5" w:rsidR="00D1141F" w:rsidRPr="004029E5" w:rsidRDefault="00E84252" w:rsidP="00D634D6">
      <w:pPr>
        <w:spacing w:line="360" w:lineRule="auto"/>
        <w:jc w:val="both"/>
        <w:rPr>
          <w:b/>
          <w:sz w:val="24"/>
          <w:szCs w:val="24"/>
          <w:u w:val="single"/>
        </w:rPr>
      </w:pPr>
      <w:r w:rsidRPr="00CB5512">
        <w:rPr>
          <w:sz w:val="24"/>
          <w:szCs w:val="24"/>
        </w:rPr>
        <w:t>Jednostka Realizująca Projekt  jest odpowiedzialna</w:t>
      </w:r>
      <w:r w:rsidR="00D1141F" w:rsidRPr="00CB5512">
        <w:rPr>
          <w:sz w:val="24"/>
          <w:szCs w:val="24"/>
        </w:rPr>
        <w:t xml:space="preserve"> za wykrywanie nadużyć finansowych </w:t>
      </w:r>
      <w:r w:rsidR="001B7936">
        <w:rPr>
          <w:sz w:val="24"/>
          <w:szCs w:val="24"/>
        </w:rPr>
        <w:t xml:space="preserve">            </w:t>
      </w:r>
      <w:r w:rsidR="00D1141F" w:rsidRPr="00CB5512">
        <w:rPr>
          <w:sz w:val="24"/>
          <w:szCs w:val="24"/>
        </w:rPr>
        <w:t xml:space="preserve">w realizacji projektów w trakcie prowadzonych przez pracowników czynności, które umożliwiają im weryfikację prawidłowości ponoszonych wydatków w oparciu o kontrole realizacji projektów lub na podstawie przedłożonych przez beneficjentów dokumentów. Prowadzący kontrolę powinni być wyczuleni na wszelkie symptomy wystąpienia ewentualnych nadużyć finansowych. W celu uzyskania wystarczającej pewności, członkowie zespołu kontrolującego powinni utrzymywać sceptyczną postawę zawodową w czasie całej kontroli. </w:t>
      </w:r>
      <w:r w:rsidR="00D1141F" w:rsidRPr="00CB5512">
        <w:rPr>
          <w:sz w:val="24"/>
          <w:szCs w:val="24"/>
        </w:rPr>
        <w:br/>
        <w:t>Powyższe zasady nie obejmują wyłącznie kontroli w ścisłym znaczeniu, lecz również wszelkie działania o charakterze weryfikacyjnym i sprawdzającym, np. weryfikacja sprawozdań finansowych i wniosków o płatność, deklaracji wydatków, analiza dokumentów przedstawionych przez beneficjentów, w tym m.in. w zakresie prawidłowości przeprowadzenia właściwych procedur udzielania zamówień publicznych.</w:t>
      </w:r>
      <w:r w:rsidR="00D1141F" w:rsidRPr="00CB5512">
        <w:rPr>
          <w:sz w:val="24"/>
          <w:szCs w:val="24"/>
        </w:rPr>
        <w:br/>
        <w:t>Za zwalczanie i przeciwdziałanie nadużyciom finansowym i łamaniu przepisów w zakresie zamówień publicznych odpowiedzialne są również następujące instytucje zewnętrzne:</w:t>
      </w:r>
    </w:p>
    <w:p w14:paraId="02951712" w14:textId="77777777" w:rsidR="004029E5" w:rsidRDefault="00D1141F" w:rsidP="00D634D6">
      <w:pPr>
        <w:spacing w:line="360" w:lineRule="auto"/>
        <w:jc w:val="both"/>
        <w:rPr>
          <w:sz w:val="24"/>
          <w:szCs w:val="24"/>
        </w:rPr>
      </w:pPr>
      <w:r w:rsidRPr="00CB5512">
        <w:rPr>
          <w:sz w:val="24"/>
          <w:szCs w:val="24"/>
        </w:rPr>
        <w:t>- Komisja Europejska, Europejski Urząd ds. zwalczania nadużyć finansowych, Europejski Trybunał Obrachunkowy,</w:t>
      </w:r>
    </w:p>
    <w:p w14:paraId="24081136" w14:textId="77777777" w:rsidR="004029E5" w:rsidRDefault="00D1141F" w:rsidP="00D634D6">
      <w:pPr>
        <w:spacing w:line="360" w:lineRule="auto"/>
        <w:jc w:val="both"/>
        <w:rPr>
          <w:sz w:val="24"/>
          <w:szCs w:val="24"/>
        </w:rPr>
      </w:pPr>
      <w:r w:rsidRPr="00CB5512">
        <w:rPr>
          <w:sz w:val="24"/>
          <w:szCs w:val="24"/>
        </w:rPr>
        <w:t>- Urząd Kontroli Skarbowej (działający również jako Instytucja Audytowa),</w:t>
      </w:r>
    </w:p>
    <w:p w14:paraId="3C7AC134" w14:textId="772C50AB" w:rsidR="004029E5" w:rsidRDefault="00D1141F" w:rsidP="00D634D6">
      <w:pPr>
        <w:spacing w:line="360" w:lineRule="auto"/>
        <w:jc w:val="both"/>
        <w:rPr>
          <w:sz w:val="24"/>
          <w:szCs w:val="24"/>
        </w:rPr>
      </w:pPr>
      <w:r w:rsidRPr="00CB5512">
        <w:rPr>
          <w:sz w:val="24"/>
          <w:szCs w:val="24"/>
        </w:rPr>
        <w:t>- Najwyższa Izba Kontroli,</w:t>
      </w:r>
    </w:p>
    <w:p w14:paraId="1E3DD057" w14:textId="591C72F1" w:rsidR="004029E5" w:rsidRDefault="00D1141F" w:rsidP="00D634D6">
      <w:pPr>
        <w:spacing w:line="360" w:lineRule="auto"/>
        <w:jc w:val="both"/>
        <w:rPr>
          <w:sz w:val="24"/>
          <w:szCs w:val="24"/>
        </w:rPr>
      </w:pPr>
      <w:r w:rsidRPr="00CB5512">
        <w:rPr>
          <w:sz w:val="24"/>
          <w:szCs w:val="24"/>
        </w:rPr>
        <w:t>- Urząd Ochrony Konkurencji i Konsumentów,</w:t>
      </w:r>
    </w:p>
    <w:p w14:paraId="3372788B" w14:textId="7A1FBABC" w:rsidR="004029E5" w:rsidRDefault="00D1141F" w:rsidP="00D634D6">
      <w:pPr>
        <w:spacing w:line="360" w:lineRule="auto"/>
        <w:jc w:val="both"/>
        <w:rPr>
          <w:sz w:val="24"/>
          <w:szCs w:val="24"/>
        </w:rPr>
      </w:pPr>
      <w:r w:rsidRPr="00CB5512">
        <w:rPr>
          <w:sz w:val="24"/>
          <w:szCs w:val="24"/>
        </w:rPr>
        <w:t>- Urząd Zamówień Publicznych, Regionalna Izba Obrachunkowa,</w:t>
      </w:r>
    </w:p>
    <w:p w14:paraId="2B1183A9" w14:textId="77777777" w:rsidR="004029E5" w:rsidRDefault="00D1141F" w:rsidP="00D634D6">
      <w:pPr>
        <w:spacing w:line="360" w:lineRule="auto"/>
        <w:jc w:val="both"/>
        <w:rPr>
          <w:sz w:val="24"/>
          <w:szCs w:val="24"/>
        </w:rPr>
      </w:pPr>
      <w:r w:rsidRPr="00CB5512">
        <w:rPr>
          <w:sz w:val="24"/>
          <w:szCs w:val="24"/>
        </w:rPr>
        <w:t>- Właściwe wspólnoty lub krajowe organy ścigania przestępstw</w:t>
      </w:r>
    </w:p>
    <w:p w14:paraId="3FC1A5D5" w14:textId="1E38A20C" w:rsidR="00D1141F" w:rsidRDefault="00D1141F" w:rsidP="00D634D6">
      <w:pPr>
        <w:spacing w:line="360" w:lineRule="auto"/>
        <w:jc w:val="both"/>
        <w:rPr>
          <w:sz w:val="24"/>
          <w:szCs w:val="24"/>
        </w:rPr>
      </w:pPr>
      <w:r w:rsidRPr="00CB5512">
        <w:rPr>
          <w:sz w:val="24"/>
          <w:szCs w:val="24"/>
        </w:rPr>
        <w:t>- Inne instytucje kontrolne (np. Urząd Skarbowy, Służba Celna, Inspekcja Ochrony Środowiska, Wojewódzki Inspektorat Nadzoru Budowalnego/ Powiatowy Inspektorat Nadzoru Budowalnego).</w:t>
      </w:r>
    </w:p>
    <w:p w14:paraId="2E4BC000" w14:textId="77777777" w:rsidR="004029E5" w:rsidRPr="00CB5512" w:rsidRDefault="004029E5" w:rsidP="00D634D6">
      <w:pPr>
        <w:spacing w:line="360" w:lineRule="auto"/>
        <w:jc w:val="both"/>
        <w:rPr>
          <w:sz w:val="24"/>
          <w:szCs w:val="24"/>
        </w:rPr>
      </w:pPr>
    </w:p>
    <w:p w14:paraId="3E86CA21" w14:textId="0B139517" w:rsidR="00D1141F" w:rsidRPr="00CB5512" w:rsidRDefault="00D1141F" w:rsidP="00D634D6">
      <w:pPr>
        <w:spacing w:line="360" w:lineRule="auto"/>
        <w:jc w:val="both"/>
        <w:rPr>
          <w:sz w:val="24"/>
          <w:szCs w:val="24"/>
        </w:rPr>
      </w:pPr>
      <w:r w:rsidRPr="00CB5512">
        <w:rPr>
          <w:sz w:val="24"/>
          <w:szCs w:val="24"/>
        </w:rPr>
        <w:lastRenderedPageBreak/>
        <w:t>W przypadku</w:t>
      </w:r>
      <w:r w:rsidR="000B07B2" w:rsidRPr="00CB5512">
        <w:rPr>
          <w:sz w:val="24"/>
          <w:szCs w:val="24"/>
        </w:rPr>
        <w:t xml:space="preserve"> powzięcia informacji o wystąpieniu nadużycia finansowego lub przestępstwa, bez względu na źródło jego pochodzenia </w:t>
      </w:r>
      <w:r w:rsidR="00E84252" w:rsidRPr="00CB5512">
        <w:rPr>
          <w:sz w:val="24"/>
          <w:szCs w:val="24"/>
        </w:rPr>
        <w:t xml:space="preserve">Kierownik Jednostki Realizującej Projekt </w:t>
      </w:r>
      <w:r w:rsidR="00E50E08" w:rsidRPr="00CB5512">
        <w:rPr>
          <w:sz w:val="24"/>
          <w:szCs w:val="24"/>
        </w:rPr>
        <w:t xml:space="preserve"> (w zakresie s</w:t>
      </w:r>
      <w:r w:rsidR="000B07B2" w:rsidRPr="00CB5512">
        <w:rPr>
          <w:sz w:val="24"/>
          <w:szCs w:val="24"/>
        </w:rPr>
        <w:t>w</w:t>
      </w:r>
      <w:r w:rsidR="00E50E08" w:rsidRPr="00CB5512">
        <w:rPr>
          <w:sz w:val="24"/>
          <w:szCs w:val="24"/>
        </w:rPr>
        <w:t>o</w:t>
      </w:r>
      <w:r w:rsidR="000B07B2" w:rsidRPr="00CB5512">
        <w:rPr>
          <w:sz w:val="24"/>
          <w:szCs w:val="24"/>
        </w:rPr>
        <w:t xml:space="preserve">ich kompetencji) przeprowadza postępowanie sprawdzające w celu potwierdzenia otrzymanej informacji, a ponadto umieszcza na swojej stronie adres poczty elektronicznej </w:t>
      </w:r>
      <w:hyperlink r:id="rId9" w:history="1">
        <w:r w:rsidR="00E84252" w:rsidRPr="00CB5512">
          <w:rPr>
            <w:rStyle w:val="Hipercze"/>
            <w:sz w:val="24"/>
            <w:szCs w:val="24"/>
          </w:rPr>
          <w:t>nadużycia.POIS@mir.gov.pl</w:t>
        </w:r>
      </w:hyperlink>
      <w:r w:rsidR="005D14D3" w:rsidRPr="00CB5512">
        <w:rPr>
          <w:sz w:val="24"/>
          <w:szCs w:val="24"/>
        </w:rPr>
        <w:t>, który ma służyć do przekazywania informacji o podejrzeniu nadużycia finansowego.</w:t>
      </w:r>
    </w:p>
    <w:p w14:paraId="035CCF55" w14:textId="463E424F" w:rsidR="00586378" w:rsidRPr="00CB5512" w:rsidRDefault="00586378" w:rsidP="00D634D6">
      <w:pPr>
        <w:spacing w:line="360" w:lineRule="auto"/>
        <w:jc w:val="both"/>
        <w:rPr>
          <w:sz w:val="24"/>
          <w:szCs w:val="24"/>
        </w:rPr>
      </w:pPr>
      <w:r w:rsidRPr="00CB5512">
        <w:rPr>
          <w:sz w:val="24"/>
          <w:szCs w:val="24"/>
        </w:rPr>
        <w:t xml:space="preserve">Wszyscy pracownicy Jednostki Realizującej Projekt zostaną poinformowani o adresie, pod który będą mogli zgłaszać informacje o podejrzeniu nadużycia. </w:t>
      </w:r>
    </w:p>
    <w:p w14:paraId="29A6918C" w14:textId="68ADB4F0" w:rsidR="005D14D3" w:rsidRPr="00CB5512" w:rsidRDefault="005D14D3" w:rsidP="00D634D6">
      <w:pPr>
        <w:pStyle w:val="Akapitzlist"/>
        <w:numPr>
          <w:ilvl w:val="0"/>
          <w:numId w:val="18"/>
        </w:numPr>
        <w:spacing w:line="360" w:lineRule="auto"/>
        <w:jc w:val="both"/>
        <w:rPr>
          <w:b/>
          <w:bCs/>
          <w:sz w:val="24"/>
          <w:szCs w:val="24"/>
        </w:rPr>
      </w:pPr>
      <w:r w:rsidRPr="00CB5512">
        <w:rPr>
          <w:b/>
          <w:bCs/>
          <w:sz w:val="24"/>
          <w:szCs w:val="24"/>
        </w:rPr>
        <w:t>Postępowanie w przypadku zidentyfikowania podejrzenia nadużyć finansowych oraz ich raportowanie i korygowanie</w:t>
      </w:r>
    </w:p>
    <w:p w14:paraId="7DAD78C7" w14:textId="77777777" w:rsidR="004029E5" w:rsidRDefault="005D14D3" w:rsidP="00D634D6">
      <w:pPr>
        <w:spacing w:line="360" w:lineRule="auto"/>
        <w:jc w:val="both"/>
        <w:rPr>
          <w:sz w:val="24"/>
          <w:szCs w:val="24"/>
        </w:rPr>
      </w:pPr>
      <w:r w:rsidRPr="00CB5512">
        <w:rPr>
          <w:sz w:val="24"/>
          <w:szCs w:val="24"/>
        </w:rPr>
        <w:t>Informacje o podejrzeniu nadużycia finansowego mogą pochodzić z różnych źródeł, są m.in.</w:t>
      </w:r>
      <w:r w:rsidRPr="00CB5512">
        <w:rPr>
          <w:sz w:val="24"/>
          <w:szCs w:val="24"/>
        </w:rPr>
        <w:br/>
        <w:t>- informacje od pracowników, pozyskane w trakcie bieżących zadań oraz kontroli,</w:t>
      </w:r>
      <w:r w:rsidRPr="00CB5512">
        <w:rPr>
          <w:sz w:val="24"/>
          <w:szCs w:val="24"/>
        </w:rPr>
        <w:br/>
        <w:t>- informacje o prowadzonych śledztwach i postepowaniach przekazane w szczególności przez prokuraturę lub służby specjalne (CBA, ABW) i UOKiK,</w:t>
      </w:r>
    </w:p>
    <w:p w14:paraId="6B03486E" w14:textId="1A85E8D2" w:rsidR="005D14D3" w:rsidRPr="00CB5512" w:rsidRDefault="005D14D3" w:rsidP="00D634D6">
      <w:pPr>
        <w:spacing w:line="360" w:lineRule="auto"/>
        <w:jc w:val="both"/>
        <w:rPr>
          <w:sz w:val="24"/>
          <w:szCs w:val="24"/>
        </w:rPr>
      </w:pPr>
      <w:r w:rsidRPr="00CB5512">
        <w:rPr>
          <w:sz w:val="24"/>
          <w:szCs w:val="24"/>
        </w:rPr>
        <w:t>- pozostałe źródła zewnętrzne, takie jak: artykuły prasowe, donosy osób trzecich, informacje przekazane przez beneficjentów.</w:t>
      </w:r>
    </w:p>
    <w:p w14:paraId="31F68817" w14:textId="00995FCB" w:rsidR="005D14D3" w:rsidRDefault="005D14D3" w:rsidP="00D634D6">
      <w:pPr>
        <w:spacing w:line="360" w:lineRule="auto"/>
        <w:jc w:val="both"/>
        <w:rPr>
          <w:sz w:val="24"/>
          <w:szCs w:val="24"/>
        </w:rPr>
      </w:pPr>
      <w:r w:rsidRPr="00CB5512">
        <w:rPr>
          <w:sz w:val="24"/>
          <w:szCs w:val="24"/>
        </w:rPr>
        <w:t xml:space="preserve">W przypadku powzięcia informacji o wystąpieniu nadużycia finansowego lub jego podejrzenia, </w:t>
      </w:r>
      <w:r w:rsidR="00E84252" w:rsidRPr="00CB5512">
        <w:rPr>
          <w:color w:val="000000" w:themeColor="text1"/>
          <w:sz w:val="24"/>
          <w:szCs w:val="24"/>
        </w:rPr>
        <w:t>Pełnomocnik ds. Realizacji Projektu - MAO</w:t>
      </w:r>
      <w:r w:rsidRPr="00CB5512">
        <w:rPr>
          <w:color w:val="000000" w:themeColor="text1"/>
          <w:sz w:val="24"/>
          <w:szCs w:val="24"/>
        </w:rPr>
        <w:t xml:space="preserve"> </w:t>
      </w:r>
      <w:r w:rsidRPr="00CB5512">
        <w:rPr>
          <w:sz w:val="24"/>
          <w:szCs w:val="24"/>
        </w:rPr>
        <w:t>jest zobowiązany do podjęcia niezbędnych działań mających na celu ochronę budżetu krajowego i unijnego od poniesienia nieprawidłowego wydatku. W tej sytuacji odpowiednia komórka organizacyjna zgłasza przedmiotową informację od właściwych organów dochodzeniowo-śledczych celem prowadzenia dalszego postępo</w:t>
      </w:r>
      <w:r w:rsidR="00E84252" w:rsidRPr="00CB5512">
        <w:rPr>
          <w:sz w:val="24"/>
          <w:szCs w:val="24"/>
        </w:rPr>
        <w:t xml:space="preserve">wania. Przed zgłoszeniem, </w:t>
      </w:r>
      <w:r w:rsidR="00E84252" w:rsidRPr="00CB5512">
        <w:rPr>
          <w:color w:val="000000" w:themeColor="text1"/>
          <w:sz w:val="24"/>
          <w:szCs w:val="24"/>
        </w:rPr>
        <w:t xml:space="preserve">Pełnomocnik ds. Realizacji Projektu - MAO, </w:t>
      </w:r>
      <w:r w:rsidRPr="00CB5512">
        <w:rPr>
          <w:color w:val="000000" w:themeColor="text1"/>
          <w:sz w:val="24"/>
          <w:szCs w:val="24"/>
        </w:rPr>
        <w:t xml:space="preserve">weryfikuje uzyskane informacje o podejrzeniu nadużycia </w:t>
      </w:r>
      <w:r w:rsidRPr="00CB5512">
        <w:rPr>
          <w:sz w:val="24"/>
          <w:szCs w:val="24"/>
        </w:rPr>
        <w:t>finansowego, zgodnie z przyjętymi pro</w:t>
      </w:r>
      <w:r w:rsidR="00E84252" w:rsidRPr="00CB5512">
        <w:rPr>
          <w:sz w:val="24"/>
          <w:szCs w:val="24"/>
        </w:rPr>
        <w:t>cedurami, m.in. poprzez kontrolę</w:t>
      </w:r>
      <w:r w:rsidRPr="00CB5512">
        <w:rPr>
          <w:sz w:val="24"/>
          <w:szCs w:val="24"/>
        </w:rPr>
        <w:t xml:space="preserve"> doraźną.</w:t>
      </w:r>
    </w:p>
    <w:p w14:paraId="67663A05" w14:textId="77777777" w:rsidR="00D634D6" w:rsidRPr="00CB5512" w:rsidRDefault="00D634D6" w:rsidP="00D634D6">
      <w:pPr>
        <w:spacing w:line="360" w:lineRule="auto"/>
        <w:jc w:val="both"/>
        <w:rPr>
          <w:sz w:val="24"/>
          <w:szCs w:val="24"/>
        </w:rPr>
      </w:pPr>
    </w:p>
    <w:p w14:paraId="7812FA97" w14:textId="73A0851F" w:rsidR="005D14D3" w:rsidRPr="00CB5512" w:rsidRDefault="005D14D3" w:rsidP="00D634D6">
      <w:pPr>
        <w:pStyle w:val="Akapitzlist"/>
        <w:numPr>
          <w:ilvl w:val="0"/>
          <w:numId w:val="18"/>
        </w:numPr>
        <w:spacing w:line="360" w:lineRule="auto"/>
        <w:jc w:val="both"/>
        <w:rPr>
          <w:b/>
          <w:bCs/>
          <w:sz w:val="24"/>
          <w:szCs w:val="24"/>
        </w:rPr>
      </w:pPr>
      <w:r w:rsidRPr="00CB5512">
        <w:rPr>
          <w:b/>
          <w:bCs/>
          <w:sz w:val="24"/>
          <w:szCs w:val="24"/>
        </w:rPr>
        <w:lastRenderedPageBreak/>
        <w:t xml:space="preserve">Postępowanie z podejrzeniami nadużyć finansowych pozyskanymi przez pracowników </w:t>
      </w:r>
      <w:r w:rsidR="00E84252" w:rsidRPr="00CB5512">
        <w:rPr>
          <w:b/>
          <w:bCs/>
          <w:sz w:val="24"/>
          <w:szCs w:val="24"/>
        </w:rPr>
        <w:t>Jednostki Realizującej Projekt</w:t>
      </w:r>
      <w:r w:rsidRPr="00CB5512">
        <w:rPr>
          <w:b/>
          <w:bCs/>
          <w:sz w:val="24"/>
          <w:szCs w:val="24"/>
        </w:rPr>
        <w:t xml:space="preserve"> w trakcie wykonywania bieżących zadań oraz kontroli</w:t>
      </w:r>
    </w:p>
    <w:p w14:paraId="4462A05F" w14:textId="0A42CA46" w:rsidR="005D14D3" w:rsidRPr="00CB5512" w:rsidRDefault="005D14D3" w:rsidP="00D634D6">
      <w:pPr>
        <w:pStyle w:val="Akapitzlist"/>
        <w:numPr>
          <w:ilvl w:val="0"/>
          <w:numId w:val="26"/>
        </w:numPr>
        <w:spacing w:line="360" w:lineRule="auto"/>
        <w:jc w:val="both"/>
        <w:rPr>
          <w:sz w:val="24"/>
          <w:szCs w:val="24"/>
        </w:rPr>
      </w:pPr>
      <w:r w:rsidRPr="00CB5512">
        <w:rPr>
          <w:sz w:val="24"/>
          <w:szCs w:val="24"/>
        </w:rPr>
        <w:t xml:space="preserve">Ze względu na fakt, że wystąpienie nadużycia finansowego może wystąpić na każdym etapie realizacji projektu, wszyscy pracownicy </w:t>
      </w:r>
      <w:r w:rsidR="00E84252" w:rsidRPr="00CB5512">
        <w:rPr>
          <w:bCs/>
          <w:sz w:val="24"/>
          <w:szCs w:val="24"/>
        </w:rPr>
        <w:t>Jednostki Realizującej Projekt</w:t>
      </w:r>
      <w:r w:rsidRPr="00CB5512">
        <w:rPr>
          <w:sz w:val="24"/>
          <w:szCs w:val="24"/>
        </w:rPr>
        <w:t xml:space="preserve"> powinni być wyczuleni na wszelkie symptomy wystąpienia ewentualnych nadużyć finansowych podczas wykonywania codziennych służbowych.</w:t>
      </w:r>
    </w:p>
    <w:p w14:paraId="169553CA" w14:textId="5A8814E4" w:rsidR="00F70A5E" w:rsidRPr="00CB5512" w:rsidRDefault="00F70A5E" w:rsidP="00D634D6">
      <w:pPr>
        <w:pStyle w:val="Akapitzlist"/>
        <w:numPr>
          <w:ilvl w:val="0"/>
          <w:numId w:val="26"/>
        </w:numPr>
        <w:spacing w:line="360" w:lineRule="auto"/>
        <w:jc w:val="both"/>
        <w:rPr>
          <w:sz w:val="24"/>
          <w:szCs w:val="24"/>
        </w:rPr>
      </w:pPr>
      <w:r w:rsidRPr="00CB5512">
        <w:rPr>
          <w:sz w:val="24"/>
          <w:szCs w:val="24"/>
        </w:rPr>
        <w:t>Bardzo często podejrzenie wystąpienia nadużycia finansowego wiąże się ściśle z podejrzeniem popełnienia czynu zabronionego, tj. zachowaniem (działaniem lub zaniechaniem), które może stanowić przestępstwo lub wykroczenie.</w:t>
      </w:r>
    </w:p>
    <w:p w14:paraId="31964752" w14:textId="03FD7A9C" w:rsidR="00F70A5E" w:rsidRPr="00CB5512" w:rsidRDefault="00E84252" w:rsidP="00D634D6">
      <w:pPr>
        <w:pStyle w:val="Akapitzlist"/>
        <w:numPr>
          <w:ilvl w:val="0"/>
          <w:numId w:val="26"/>
        </w:numPr>
        <w:spacing w:line="360" w:lineRule="auto"/>
        <w:jc w:val="both"/>
        <w:rPr>
          <w:sz w:val="24"/>
          <w:szCs w:val="24"/>
        </w:rPr>
      </w:pPr>
      <w:r w:rsidRPr="00CB5512">
        <w:rPr>
          <w:sz w:val="24"/>
          <w:szCs w:val="24"/>
        </w:rPr>
        <w:t xml:space="preserve">Pracownik </w:t>
      </w:r>
      <w:r w:rsidRPr="00CB5512">
        <w:rPr>
          <w:bCs/>
          <w:sz w:val="24"/>
          <w:szCs w:val="24"/>
        </w:rPr>
        <w:t>Jednostki Realizującej Projekt</w:t>
      </w:r>
      <w:r w:rsidR="00F70A5E" w:rsidRPr="00CB5512">
        <w:rPr>
          <w:sz w:val="24"/>
          <w:szCs w:val="24"/>
        </w:rPr>
        <w:t>, w przypadku powzięcia istotnych informacji świadczących o możliwości wystąpienia podejrzenia nadużycia finansowego skutkującego wystąpieniem czynu zabronionego, zobowiązany jest do podjęcia stosownych działań, mających na celu powiadomienie odpowiednich organów.</w:t>
      </w:r>
    </w:p>
    <w:p w14:paraId="0193D2D1" w14:textId="003D9EF5" w:rsidR="00F70A5E" w:rsidRPr="00CB5512" w:rsidRDefault="00F70A5E" w:rsidP="00D634D6">
      <w:pPr>
        <w:pStyle w:val="Akapitzlist"/>
        <w:numPr>
          <w:ilvl w:val="0"/>
          <w:numId w:val="26"/>
        </w:numPr>
        <w:spacing w:line="360" w:lineRule="auto"/>
        <w:jc w:val="both"/>
        <w:rPr>
          <w:sz w:val="24"/>
          <w:szCs w:val="24"/>
        </w:rPr>
      </w:pPr>
      <w:r w:rsidRPr="00CB5512">
        <w:rPr>
          <w:sz w:val="24"/>
          <w:szCs w:val="24"/>
        </w:rPr>
        <w:t>W celu wykonania obowiązków, o których mowa w pkt 3, należy zabezpieczyć również miejsce zdarzenia – tak, aby nie dopuścić do zatarcia, zniekształcenia śladów i innych dowodów popełnienia przestępstwa. Działania te w praktyce polegać mogą np. na zamknięciu pomieszczenia, zabezpieczeniu dokumentu</w:t>
      </w:r>
      <w:r w:rsidR="00D12B3F" w:rsidRPr="00CB5512">
        <w:rPr>
          <w:sz w:val="24"/>
          <w:szCs w:val="24"/>
        </w:rPr>
        <w:t xml:space="preserve"> lub dowodu rzeczowego czynu, odseparowaniu ujętego sprawcy z jednoczesnym powiadomieniem policji lub prokuratora o jego ujęciu. Obowiązek ten nie jest jednak związany z prawem do podejmowania działań procesowych zabezpieczających typu przesłuchania, przeszukania, itd.</w:t>
      </w:r>
    </w:p>
    <w:p w14:paraId="5707DABE" w14:textId="7105A18A" w:rsidR="00D12B3F" w:rsidRPr="00CB5512" w:rsidRDefault="00D12B3F" w:rsidP="00D634D6">
      <w:pPr>
        <w:pStyle w:val="Akapitzlist"/>
        <w:numPr>
          <w:ilvl w:val="0"/>
          <w:numId w:val="26"/>
        </w:numPr>
        <w:spacing w:line="360" w:lineRule="auto"/>
        <w:jc w:val="both"/>
        <w:rPr>
          <w:sz w:val="24"/>
          <w:szCs w:val="24"/>
        </w:rPr>
      </w:pPr>
      <w:r w:rsidRPr="00CB5512">
        <w:rPr>
          <w:sz w:val="24"/>
          <w:szCs w:val="24"/>
        </w:rPr>
        <w:t>Zaniechanie przez pracownika obowiązku prawnego zawiadomienia o przestępstwie może pociągać za sobą jego odpowiedzialność karną określoną w art. 231 Kk.</w:t>
      </w:r>
    </w:p>
    <w:p w14:paraId="001312C3" w14:textId="0472C435" w:rsidR="00D12B3F" w:rsidRPr="00CB5512" w:rsidRDefault="00D12B3F" w:rsidP="00D634D6">
      <w:pPr>
        <w:pStyle w:val="Akapitzlist"/>
        <w:numPr>
          <w:ilvl w:val="0"/>
          <w:numId w:val="26"/>
        </w:numPr>
        <w:spacing w:line="360" w:lineRule="auto"/>
        <w:jc w:val="both"/>
        <w:rPr>
          <w:sz w:val="24"/>
          <w:szCs w:val="24"/>
        </w:rPr>
      </w:pPr>
      <w:r w:rsidRPr="00CB5512">
        <w:rPr>
          <w:sz w:val="24"/>
          <w:szCs w:val="24"/>
        </w:rPr>
        <w:t>Zawiadomienie o przestępstwie jest informacją o podejrzeniu zaistnienia przestępstwa. Stanowi Impuls określonej osoby czy instytucji do sprawdzenia przez organ ścigania, czy istnieją podstawy do ścigania karnego. Niezależnie jednak od tego, czy określone zgłoszenie ma charakter informujący czy postulujący – do organów procesowych należy ocena, czy określone zdarzenie nosi cechy przestępstwa.</w:t>
      </w:r>
    </w:p>
    <w:p w14:paraId="41DDD3C9" w14:textId="34196A3F" w:rsidR="00D12B3F" w:rsidRPr="00CB5512" w:rsidRDefault="00D12B3F" w:rsidP="00D634D6">
      <w:pPr>
        <w:pStyle w:val="Akapitzlist"/>
        <w:numPr>
          <w:ilvl w:val="0"/>
          <w:numId w:val="26"/>
        </w:numPr>
        <w:spacing w:line="360" w:lineRule="auto"/>
        <w:jc w:val="both"/>
        <w:rPr>
          <w:sz w:val="24"/>
          <w:szCs w:val="24"/>
        </w:rPr>
      </w:pPr>
      <w:r w:rsidRPr="00CB5512">
        <w:rPr>
          <w:sz w:val="24"/>
          <w:szCs w:val="24"/>
        </w:rPr>
        <w:t xml:space="preserve">W przypadku, gdy w toku weryfikacji procedury udzielania zamówienia publicznego pracownicy </w:t>
      </w:r>
      <w:r w:rsidR="0028490C" w:rsidRPr="00CB5512">
        <w:rPr>
          <w:sz w:val="24"/>
          <w:szCs w:val="24"/>
        </w:rPr>
        <w:t>Jednostki Realizującej Projekt</w:t>
      </w:r>
      <w:r w:rsidRPr="00CB5512">
        <w:rPr>
          <w:sz w:val="24"/>
          <w:szCs w:val="24"/>
        </w:rPr>
        <w:t xml:space="preserve"> nabiorą </w:t>
      </w:r>
      <w:r w:rsidR="0028490C" w:rsidRPr="00CB5512">
        <w:rPr>
          <w:sz w:val="24"/>
          <w:szCs w:val="24"/>
        </w:rPr>
        <w:t xml:space="preserve">podejrzeń </w:t>
      </w:r>
      <w:r w:rsidRPr="00CB5512">
        <w:rPr>
          <w:sz w:val="24"/>
          <w:szCs w:val="24"/>
        </w:rPr>
        <w:t xml:space="preserve">nadużyć finansowych, </w:t>
      </w:r>
      <w:r w:rsidRPr="00CB5512">
        <w:rPr>
          <w:sz w:val="24"/>
          <w:szCs w:val="24"/>
        </w:rPr>
        <w:lastRenderedPageBreak/>
        <w:t>mogących stanowić praktyki ograniczające konkurencję, należy je zgłosić Prezesowi UOKiK na podstawie art. 86 ustawy o ochronie konkurencji i konsumentów. Zgłoszenie następuje w formie pisemnego zawiadomienia wraz z uzasadnieniem, które powinno zawierać w szczególności: wskazanie przepisu ustawy lub Traktatu WE, którego naruszenie zarzuca się oraz dane identyfikujące zgłaszającego zawiadomienie</w:t>
      </w:r>
      <w:r w:rsidR="00761CCA" w:rsidRPr="00CB5512">
        <w:rPr>
          <w:sz w:val="24"/>
          <w:szCs w:val="24"/>
        </w:rPr>
        <w:t>.</w:t>
      </w:r>
    </w:p>
    <w:p w14:paraId="4E0DD471" w14:textId="77777777" w:rsidR="0028490C" w:rsidRPr="00CB5512" w:rsidRDefault="0028490C" w:rsidP="00D634D6">
      <w:pPr>
        <w:pStyle w:val="Akapitzlist"/>
        <w:spacing w:line="360" w:lineRule="auto"/>
        <w:ind w:left="360"/>
        <w:jc w:val="both"/>
        <w:rPr>
          <w:sz w:val="24"/>
          <w:szCs w:val="24"/>
        </w:rPr>
      </w:pPr>
    </w:p>
    <w:p w14:paraId="0AE5F0AF" w14:textId="470E4288" w:rsidR="00761CCA" w:rsidRPr="00CB5512" w:rsidRDefault="00761CCA" w:rsidP="00D634D6">
      <w:pPr>
        <w:pStyle w:val="Akapitzlist"/>
        <w:numPr>
          <w:ilvl w:val="0"/>
          <w:numId w:val="18"/>
        </w:numPr>
        <w:spacing w:line="360" w:lineRule="auto"/>
        <w:jc w:val="both"/>
        <w:rPr>
          <w:b/>
          <w:bCs/>
          <w:sz w:val="24"/>
          <w:szCs w:val="24"/>
        </w:rPr>
      </w:pPr>
      <w:r w:rsidRPr="00CB5512">
        <w:rPr>
          <w:b/>
          <w:bCs/>
          <w:sz w:val="24"/>
          <w:szCs w:val="24"/>
        </w:rPr>
        <w:t>Ochrona pracownika zgłaszającego ewentualne nadużycia korupcyjne lub finansowe</w:t>
      </w:r>
    </w:p>
    <w:p w14:paraId="091B3001" w14:textId="33FB0665" w:rsidR="00761CCA" w:rsidRPr="00CB5512" w:rsidRDefault="00761CCA" w:rsidP="00D634D6">
      <w:pPr>
        <w:spacing w:line="360" w:lineRule="auto"/>
        <w:jc w:val="both"/>
        <w:rPr>
          <w:sz w:val="24"/>
          <w:szCs w:val="24"/>
        </w:rPr>
      </w:pPr>
      <w:r w:rsidRPr="00CB5512">
        <w:rPr>
          <w:sz w:val="24"/>
          <w:szCs w:val="24"/>
        </w:rPr>
        <w:t>Kierownictwo Urzędu Miasta Pruszkowa deklaruje ochronę i wsparcie dla pracowników, którzy będą sygnalizować nieprawidłowości zachodzące w instytucji lub ryzyko ich wystąpienia.</w:t>
      </w:r>
    </w:p>
    <w:p w14:paraId="40311F97" w14:textId="195A29FD" w:rsidR="00761CCA" w:rsidRPr="00CB5512" w:rsidRDefault="00761CCA" w:rsidP="00D634D6">
      <w:pPr>
        <w:spacing w:line="360" w:lineRule="auto"/>
        <w:jc w:val="both"/>
        <w:rPr>
          <w:sz w:val="24"/>
          <w:szCs w:val="24"/>
        </w:rPr>
      </w:pPr>
      <w:r w:rsidRPr="00CB5512">
        <w:rPr>
          <w:sz w:val="24"/>
          <w:szCs w:val="24"/>
        </w:rPr>
        <w:t>Ochronę pracownika sygnalizującego nieprawidłowości uzależnia się od jego dobrej wiary. Pracownik ujawnia nieprawidłowości w dobrej wierze, gdy znane mu okoliczności pozwalają zakładać, że mógł on mieć szczere przekonanie o nieprawidłowościach bądź o ryzyku ich wystąpienia. Dla wykazania dobrej wiary nie jest wymagane udowodnienie, że do nieprawidłowości doszło.</w:t>
      </w:r>
    </w:p>
    <w:p w14:paraId="33097BDE" w14:textId="34F5FC6E" w:rsidR="00761CCA" w:rsidRPr="00CB5512" w:rsidRDefault="00761CCA" w:rsidP="00D634D6">
      <w:pPr>
        <w:spacing w:line="360" w:lineRule="auto"/>
        <w:jc w:val="both"/>
        <w:rPr>
          <w:sz w:val="24"/>
          <w:szCs w:val="24"/>
        </w:rPr>
      </w:pPr>
      <w:r w:rsidRPr="00CB5512">
        <w:rPr>
          <w:sz w:val="24"/>
          <w:szCs w:val="24"/>
        </w:rPr>
        <w:t>Nie podlegają ochronie pracownicy sygnalizujący nieprawidłowości w złej wierze. Za zgłoszenia w złej wierze uznaje się w szczególności świadome zgłaszanie informacji nieprawdziwych.</w:t>
      </w:r>
    </w:p>
    <w:p w14:paraId="5BE1DD01" w14:textId="3439E3D2" w:rsidR="00761CCA" w:rsidRPr="00CB5512" w:rsidRDefault="00761CCA" w:rsidP="00D634D6">
      <w:pPr>
        <w:spacing w:line="360" w:lineRule="auto"/>
        <w:jc w:val="both"/>
        <w:rPr>
          <w:sz w:val="24"/>
          <w:szCs w:val="24"/>
        </w:rPr>
      </w:pPr>
      <w:r w:rsidRPr="00CB5512">
        <w:rPr>
          <w:sz w:val="24"/>
          <w:szCs w:val="24"/>
        </w:rPr>
        <w:t>Kierownictwo Urzędu Miasta Pruszkowa deklaruje ochronę pracownika przed działaniami odwetowymi podjętymi w związku z zasygnalizowaniem nieprawidłowości, w tym, lecz nie wyłącznie przed: bezzasadnym rozwiązaniem stosunku pracy lub innego stosunku prawnego będącego podstawą zatrudnienia, a także dyskontynuacją zatrudnienia w przypadku umów czasowych, bezzasadnym obniżeniem wynagrodzenia, pozbawieniem nagród, premii lub innym pogorszeniem warunków pracy, bezzasadnym pozbawieniem możliwości awansu, uczestnictwa w szkoleniach lub innym możliwości rozwoju zawodowego. Kierownictwo dołoży starań, by chronić pracownika przez ostracyzmem ze strony innych pracowników.</w:t>
      </w:r>
    </w:p>
    <w:p w14:paraId="2BE5B772" w14:textId="6A7902EF" w:rsidR="00761CCA" w:rsidRPr="00CB5512" w:rsidRDefault="00761CCA" w:rsidP="00D634D6">
      <w:pPr>
        <w:spacing w:line="360" w:lineRule="auto"/>
        <w:jc w:val="both"/>
        <w:rPr>
          <w:sz w:val="24"/>
          <w:szCs w:val="24"/>
        </w:rPr>
      </w:pPr>
      <w:r w:rsidRPr="00CB5512">
        <w:rPr>
          <w:sz w:val="24"/>
          <w:szCs w:val="24"/>
        </w:rPr>
        <w:lastRenderedPageBreak/>
        <w:t>Kierownictwo</w:t>
      </w:r>
      <w:r w:rsidR="0091055A" w:rsidRPr="00CB5512">
        <w:rPr>
          <w:sz w:val="24"/>
          <w:szCs w:val="24"/>
        </w:rPr>
        <w:t xml:space="preserve"> Urzędu Miasta Pruszkowa przewiduje możliwość aktywnego udziału pracownika sygnalizującego w badaniu okoliczności dotyczących sygnalizowanej nieprawidłowości, w szczególności poprzez możliwość wskazania dowodów potwierdzających lub uprawdopodabniających ww. okoliczności oraz przedstawienie uwag do ustaleń końcowych badania.</w:t>
      </w:r>
    </w:p>
    <w:p w14:paraId="3F727945" w14:textId="071FF25F" w:rsidR="0091055A" w:rsidRPr="00CB5512" w:rsidRDefault="0091055A" w:rsidP="00D634D6">
      <w:pPr>
        <w:spacing w:line="360" w:lineRule="auto"/>
        <w:jc w:val="both"/>
        <w:rPr>
          <w:sz w:val="24"/>
          <w:szCs w:val="24"/>
        </w:rPr>
      </w:pPr>
      <w:r w:rsidRPr="00CB5512">
        <w:rPr>
          <w:sz w:val="24"/>
          <w:szCs w:val="24"/>
        </w:rPr>
        <w:t xml:space="preserve">Jako zasadę przyjmuje się poufność danych osobowych osoby sygnalizujące wobec pracowników </w:t>
      </w:r>
      <w:r w:rsidR="00E50E08" w:rsidRPr="00CB5512">
        <w:rPr>
          <w:sz w:val="24"/>
          <w:szCs w:val="24"/>
        </w:rPr>
        <w:t>Jednostki Realizującej Projekt</w:t>
      </w:r>
      <w:r w:rsidRPr="00CB5512">
        <w:rPr>
          <w:sz w:val="24"/>
          <w:szCs w:val="24"/>
        </w:rPr>
        <w:t xml:space="preserve"> oraz przełożonych. Zasadę poufności wyłącza wyraźna zgoda pracownika sygnalizującego.</w:t>
      </w:r>
    </w:p>
    <w:p w14:paraId="094B5752" w14:textId="77777777" w:rsidR="00E50E08" w:rsidRPr="00CB5512" w:rsidRDefault="00E50E08" w:rsidP="00D634D6">
      <w:pPr>
        <w:spacing w:line="360" w:lineRule="auto"/>
        <w:jc w:val="both"/>
        <w:rPr>
          <w:sz w:val="24"/>
          <w:szCs w:val="24"/>
        </w:rPr>
      </w:pPr>
    </w:p>
    <w:p w14:paraId="7BF51161" w14:textId="67D2B2D6" w:rsidR="0091055A" w:rsidRPr="00CB5512" w:rsidRDefault="0091055A" w:rsidP="00D634D6">
      <w:pPr>
        <w:pStyle w:val="Akapitzlist"/>
        <w:numPr>
          <w:ilvl w:val="0"/>
          <w:numId w:val="18"/>
        </w:numPr>
        <w:spacing w:line="360" w:lineRule="auto"/>
        <w:jc w:val="both"/>
        <w:rPr>
          <w:b/>
          <w:sz w:val="24"/>
          <w:szCs w:val="24"/>
        </w:rPr>
      </w:pPr>
      <w:r w:rsidRPr="00CB5512">
        <w:rPr>
          <w:b/>
          <w:sz w:val="24"/>
          <w:szCs w:val="24"/>
        </w:rPr>
        <w:t>Raportowanie o przypadkach zidentyfikowania podejrzenia nadużyć finansowych</w:t>
      </w:r>
    </w:p>
    <w:p w14:paraId="1923B235" w14:textId="723961B7" w:rsidR="0091055A" w:rsidRPr="00CB5512" w:rsidRDefault="0091055A" w:rsidP="00D634D6">
      <w:pPr>
        <w:spacing w:line="360" w:lineRule="auto"/>
        <w:jc w:val="both"/>
        <w:rPr>
          <w:sz w:val="24"/>
          <w:szCs w:val="24"/>
        </w:rPr>
      </w:pPr>
      <w:r w:rsidRPr="00CB5512">
        <w:rPr>
          <w:sz w:val="24"/>
          <w:szCs w:val="24"/>
        </w:rPr>
        <w:t xml:space="preserve">W przypadku, gdy podejrzenie nadużycia finansowego zostało zgłoszone do organów ścigania przez </w:t>
      </w:r>
      <w:r w:rsidR="00E50E08" w:rsidRPr="00CB5512">
        <w:rPr>
          <w:color w:val="000000" w:themeColor="text1"/>
          <w:sz w:val="24"/>
          <w:szCs w:val="24"/>
        </w:rPr>
        <w:t xml:space="preserve">Pełnomocnika ds. Realizacji Projektu </w:t>
      </w:r>
      <w:r w:rsidR="00586378" w:rsidRPr="00CB5512">
        <w:rPr>
          <w:color w:val="000000" w:themeColor="text1"/>
          <w:sz w:val="24"/>
          <w:szCs w:val="24"/>
        </w:rPr>
        <w:t xml:space="preserve">– MAO lub </w:t>
      </w:r>
      <w:r w:rsidR="00E50E08" w:rsidRPr="00CB5512">
        <w:rPr>
          <w:color w:val="000000" w:themeColor="text1"/>
          <w:sz w:val="24"/>
          <w:szCs w:val="24"/>
        </w:rPr>
        <w:t xml:space="preserve">Prezydenta Miasta Pruszkowa </w:t>
      </w:r>
      <w:r w:rsidRPr="00CB5512">
        <w:rPr>
          <w:color w:val="000000" w:themeColor="text1"/>
          <w:sz w:val="24"/>
          <w:szCs w:val="24"/>
        </w:rPr>
        <w:t xml:space="preserve">, </w:t>
      </w:r>
      <w:r w:rsidR="00B17473" w:rsidRPr="00CB5512">
        <w:rPr>
          <w:color w:val="000000" w:themeColor="text1"/>
          <w:sz w:val="24"/>
          <w:szCs w:val="24"/>
        </w:rPr>
        <w:t xml:space="preserve">zgłaszający jest </w:t>
      </w:r>
      <w:r w:rsidRPr="00CB5512">
        <w:rPr>
          <w:color w:val="000000" w:themeColor="text1"/>
          <w:sz w:val="24"/>
          <w:szCs w:val="24"/>
        </w:rPr>
        <w:t xml:space="preserve">zobowiązany do </w:t>
      </w:r>
      <w:r w:rsidRPr="00CB5512">
        <w:rPr>
          <w:sz w:val="24"/>
          <w:szCs w:val="24"/>
        </w:rPr>
        <w:t>powiadomienia o zais</w:t>
      </w:r>
      <w:r w:rsidR="00B17473" w:rsidRPr="00CB5512">
        <w:rPr>
          <w:sz w:val="24"/>
          <w:szCs w:val="24"/>
        </w:rPr>
        <w:t>tniałym zdarzeniu niezwłocznie w</w:t>
      </w:r>
      <w:r w:rsidRPr="00CB5512">
        <w:rPr>
          <w:sz w:val="24"/>
          <w:szCs w:val="24"/>
        </w:rPr>
        <w:t xml:space="preserve"> formie pisemnej Instytucji wdrażający dany projekt. Obowiązek ten dotyczy również informowania IW o wszelkich dalszych czynnościach podejmowanych w </w:t>
      </w:r>
      <w:r w:rsidR="00B17473" w:rsidRPr="00CB5512">
        <w:rPr>
          <w:sz w:val="24"/>
          <w:szCs w:val="24"/>
        </w:rPr>
        <w:t>tej s</w:t>
      </w:r>
      <w:r w:rsidRPr="00CB5512">
        <w:rPr>
          <w:sz w:val="24"/>
          <w:szCs w:val="24"/>
        </w:rPr>
        <w:t>prawie przez organy ścigania i organy sprawiedliwości.</w:t>
      </w:r>
    </w:p>
    <w:p w14:paraId="797CBA1C" w14:textId="40FCCA12" w:rsidR="0091055A" w:rsidRDefault="0091055A" w:rsidP="00D634D6">
      <w:pPr>
        <w:spacing w:line="360" w:lineRule="auto"/>
        <w:jc w:val="both"/>
        <w:rPr>
          <w:b/>
          <w:bCs/>
          <w:sz w:val="24"/>
          <w:szCs w:val="24"/>
        </w:rPr>
      </w:pPr>
    </w:p>
    <w:p w14:paraId="347EFDDD" w14:textId="77777777" w:rsidR="00B52E8A" w:rsidRDefault="00B52E8A" w:rsidP="00D634D6">
      <w:pPr>
        <w:spacing w:line="360" w:lineRule="auto"/>
        <w:jc w:val="both"/>
        <w:rPr>
          <w:b/>
          <w:bCs/>
          <w:sz w:val="24"/>
          <w:szCs w:val="24"/>
        </w:rPr>
      </w:pPr>
    </w:p>
    <w:p w14:paraId="06DDD19E" w14:textId="77777777" w:rsidR="00B52E8A" w:rsidRDefault="00B52E8A" w:rsidP="00D634D6">
      <w:pPr>
        <w:spacing w:line="360" w:lineRule="auto"/>
        <w:jc w:val="both"/>
        <w:rPr>
          <w:b/>
          <w:bCs/>
          <w:sz w:val="24"/>
          <w:szCs w:val="24"/>
        </w:rPr>
      </w:pPr>
    </w:p>
    <w:p w14:paraId="06BF5512" w14:textId="77777777" w:rsidR="00B52E8A" w:rsidRDefault="00B52E8A" w:rsidP="00D634D6">
      <w:pPr>
        <w:spacing w:line="360" w:lineRule="auto"/>
        <w:jc w:val="both"/>
        <w:rPr>
          <w:b/>
          <w:bCs/>
          <w:sz w:val="24"/>
          <w:szCs w:val="24"/>
        </w:rPr>
      </w:pPr>
    </w:p>
    <w:p w14:paraId="752F4FA1" w14:textId="77777777" w:rsidR="00B52E8A" w:rsidRDefault="00B52E8A" w:rsidP="00D634D6">
      <w:pPr>
        <w:spacing w:line="360" w:lineRule="auto"/>
        <w:jc w:val="both"/>
        <w:rPr>
          <w:b/>
          <w:bCs/>
          <w:sz w:val="24"/>
          <w:szCs w:val="24"/>
        </w:rPr>
      </w:pPr>
    </w:p>
    <w:p w14:paraId="330EC741" w14:textId="77777777" w:rsidR="00B52E8A" w:rsidRDefault="00B52E8A" w:rsidP="00D634D6">
      <w:pPr>
        <w:spacing w:line="360" w:lineRule="auto"/>
        <w:jc w:val="both"/>
        <w:rPr>
          <w:b/>
          <w:bCs/>
          <w:sz w:val="24"/>
          <w:szCs w:val="24"/>
        </w:rPr>
      </w:pPr>
    </w:p>
    <w:p w14:paraId="58FED484" w14:textId="77777777" w:rsidR="00B52E8A" w:rsidRDefault="00B52E8A" w:rsidP="00D634D6">
      <w:pPr>
        <w:spacing w:line="360" w:lineRule="auto"/>
        <w:jc w:val="both"/>
        <w:rPr>
          <w:b/>
          <w:bCs/>
          <w:sz w:val="24"/>
          <w:szCs w:val="24"/>
        </w:rPr>
      </w:pPr>
    </w:p>
    <w:p w14:paraId="432BA5DE" w14:textId="77777777" w:rsidR="00B52E8A" w:rsidRDefault="00B52E8A" w:rsidP="00D634D6">
      <w:pPr>
        <w:spacing w:line="360" w:lineRule="auto"/>
        <w:jc w:val="both"/>
        <w:rPr>
          <w:b/>
          <w:bCs/>
          <w:sz w:val="24"/>
          <w:szCs w:val="24"/>
        </w:rPr>
      </w:pPr>
    </w:p>
    <w:p w14:paraId="643C0226" w14:textId="77777777" w:rsidR="00B52E8A" w:rsidRDefault="00B52E8A" w:rsidP="00B52E8A">
      <w:pPr>
        <w:pStyle w:val="Standard"/>
        <w:rPr>
          <w:b/>
          <w:bCs/>
          <w:sz w:val="20"/>
          <w:szCs w:val="20"/>
        </w:rPr>
      </w:pPr>
    </w:p>
    <w:p w14:paraId="6D2B60EA" w14:textId="77777777" w:rsidR="00B52E8A" w:rsidRDefault="00B52E8A" w:rsidP="00B52E8A">
      <w:pPr>
        <w:spacing w:line="360" w:lineRule="auto"/>
        <w:jc w:val="both"/>
        <w:rPr>
          <w:rFonts w:ascii="Calibri" w:hAnsi="Calibri"/>
          <w:b/>
          <w:bCs/>
        </w:rPr>
      </w:pPr>
      <w:r>
        <w:rPr>
          <w:rFonts w:ascii="Calibri" w:hAnsi="Calibri"/>
          <w:b/>
          <w:bCs/>
        </w:rPr>
        <w:t>Załącznik do procedury przeciwdziałania i zwalczania nadużyć finansowych i konfliktów interesów                      w Jednostce Realizującej Projekt w Urzędzie Miasta Pruszkowa przy realizacji projektu pn. ,,Poprawa jakości środowiska poprzez kompleksowy rozwój terenów zielonych w Pruszkowie - etap II”</w:t>
      </w:r>
    </w:p>
    <w:p w14:paraId="3431ED8A" w14:textId="77777777" w:rsidR="00B52E8A" w:rsidRDefault="00B52E8A" w:rsidP="00B52E8A">
      <w:pPr>
        <w:pStyle w:val="Standard"/>
        <w:spacing w:line="360" w:lineRule="auto"/>
        <w:rPr>
          <w:rFonts w:ascii="Calibri" w:hAnsi="Calibri"/>
          <w:b/>
          <w:bCs/>
          <w:sz w:val="20"/>
          <w:szCs w:val="20"/>
        </w:rPr>
      </w:pPr>
    </w:p>
    <w:p w14:paraId="7A729CC6" w14:textId="77777777" w:rsidR="00B52E8A" w:rsidRDefault="00B52E8A" w:rsidP="00B52E8A">
      <w:pPr>
        <w:pStyle w:val="Standard"/>
        <w:spacing w:line="360" w:lineRule="auto"/>
        <w:rPr>
          <w:rFonts w:ascii="Calibri" w:hAnsi="Calibri"/>
          <w:b/>
          <w:bCs/>
          <w:sz w:val="20"/>
          <w:szCs w:val="20"/>
        </w:rPr>
      </w:pPr>
    </w:p>
    <w:p w14:paraId="19F54960" w14:textId="77777777" w:rsidR="00B52E8A" w:rsidRDefault="00B52E8A" w:rsidP="00B52E8A">
      <w:pPr>
        <w:pStyle w:val="Standard"/>
        <w:spacing w:line="360" w:lineRule="auto"/>
        <w:rPr>
          <w:rFonts w:ascii="Calibri" w:hAnsi="Calibri"/>
          <w:b/>
          <w:bCs/>
          <w:sz w:val="22"/>
          <w:szCs w:val="22"/>
        </w:rPr>
      </w:pPr>
      <w:r>
        <w:rPr>
          <w:rFonts w:ascii="Calibri" w:hAnsi="Calibri"/>
          <w:b/>
          <w:bCs/>
          <w:sz w:val="22"/>
          <w:szCs w:val="22"/>
        </w:rPr>
        <w:t>Analiza ryzyka wystąpienia nadużyć finansowych w Urzędzie Miasta Pruszkowa - Jednostki Realizującej Projekt  przy realizacji projektu pn. ,,Poprawa jakości środowiska poprzez kompleksowy rozwój terenów zielonych - etap II", dofinansowanego w ramach Programu Operacyjnego Infrastruktura i Środowisko  na lata 2014-2020</w:t>
      </w:r>
    </w:p>
    <w:p w14:paraId="720C9BA6" w14:textId="77777777" w:rsidR="00B52E8A" w:rsidRDefault="00B52E8A" w:rsidP="00B52E8A">
      <w:pPr>
        <w:pStyle w:val="Standard"/>
        <w:spacing w:line="360" w:lineRule="auto"/>
        <w:rPr>
          <w:rFonts w:ascii="Calibri" w:hAnsi="Calibri"/>
          <w:b/>
          <w:bCs/>
          <w:sz w:val="20"/>
          <w:szCs w:val="20"/>
        </w:rPr>
      </w:pPr>
    </w:p>
    <w:tbl>
      <w:tblPr>
        <w:tblW w:w="9645" w:type="dxa"/>
        <w:tblLayout w:type="fixed"/>
        <w:tblCellMar>
          <w:left w:w="10" w:type="dxa"/>
          <w:right w:w="10" w:type="dxa"/>
        </w:tblCellMar>
        <w:tblLook w:val="04A0" w:firstRow="1" w:lastRow="0" w:firstColumn="1" w:lastColumn="0" w:noHBand="0" w:noVBand="1"/>
      </w:tblPr>
      <w:tblGrid>
        <w:gridCol w:w="749"/>
        <w:gridCol w:w="1471"/>
        <w:gridCol w:w="4214"/>
        <w:gridCol w:w="1126"/>
        <w:gridCol w:w="2085"/>
      </w:tblGrid>
      <w:tr w:rsidR="00B52E8A" w14:paraId="749E0363" w14:textId="77777777" w:rsidTr="008C6B8F">
        <w:tblPrEx>
          <w:tblCellMar>
            <w:top w:w="0" w:type="dxa"/>
            <w:bottom w:w="0" w:type="dxa"/>
          </w:tblCellMar>
        </w:tblPrEx>
        <w:tc>
          <w:tcPr>
            <w:tcW w:w="74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8BC1CD9" w14:textId="77777777" w:rsidR="00B52E8A" w:rsidRDefault="00B52E8A" w:rsidP="008C6B8F">
            <w:pPr>
              <w:pStyle w:val="TableContents"/>
              <w:spacing w:line="360" w:lineRule="auto"/>
              <w:rPr>
                <w:rFonts w:ascii="Calibri" w:hAnsi="Calibri"/>
                <w:b/>
                <w:bCs/>
                <w:sz w:val="20"/>
                <w:szCs w:val="20"/>
              </w:rPr>
            </w:pPr>
            <w:r>
              <w:rPr>
                <w:rFonts w:ascii="Calibri" w:hAnsi="Calibri"/>
                <w:b/>
                <w:bCs/>
                <w:sz w:val="20"/>
                <w:szCs w:val="20"/>
              </w:rPr>
              <w:t>Nr ryzyka</w:t>
            </w:r>
          </w:p>
        </w:tc>
        <w:tc>
          <w:tcPr>
            <w:tcW w:w="147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3ABA041" w14:textId="77777777" w:rsidR="00B52E8A" w:rsidRDefault="00B52E8A" w:rsidP="008C6B8F">
            <w:pPr>
              <w:pStyle w:val="TableContents"/>
              <w:spacing w:line="360" w:lineRule="auto"/>
              <w:rPr>
                <w:rFonts w:ascii="Calibri" w:hAnsi="Calibri"/>
                <w:b/>
                <w:bCs/>
                <w:sz w:val="20"/>
                <w:szCs w:val="20"/>
              </w:rPr>
            </w:pPr>
            <w:r>
              <w:rPr>
                <w:rFonts w:ascii="Calibri" w:hAnsi="Calibri"/>
                <w:b/>
                <w:bCs/>
                <w:sz w:val="20"/>
                <w:szCs w:val="20"/>
              </w:rPr>
              <w:t>Nazwa ryzyka</w:t>
            </w:r>
          </w:p>
        </w:tc>
        <w:tc>
          <w:tcPr>
            <w:tcW w:w="421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A2F94E9" w14:textId="77777777" w:rsidR="00B52E8A" w:rsidRDefault="00B52E8A" w:rsidP="008C6B8F">
            <w:pPr>
              <w:pStyle w:val="TableContents"/>
              <w:spacing w:line="360" w:lineRule="auto"/>
              <w:rPr>
                <w:rFonts w:ascii="Calibri" w:hAnsi="Calibri"/>
                <w:b/>
                <w:bCs/>
                <w:sz w:val="20"/>
                <w:szCs w:val="20"/>
              </w:rPr>
            </w:pPr>
            <w:r>
              <w:rPr>
                <w:rFonts w:ascii="Calibri" w:hAnsi="Calibri"/>
                <w:b/>
                <w:bCs/>
                <w:sz w:val="20"/>
                <w:szCs w:val="20"/>
              </w:rPr>
              <w:t>Opis ryzyka</w:t>
            </w:r>
          </w:p>
        </w:tc>
        <w:tc>
          <w:tcPr>
            <w:tcW w:w="112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E708A6E" w14:textId="77777777" w:rsidR="00B52E8A" w:rsidRDefault="00B52E8A" w:rsidP="008C6B8F">
            <w:pPr>
              <w:pStyle w:val="TableContents"/>
              <w:spacing w:line="360" w:lineRule="auto"/>
              <w:rPr>
                <w:rFonts w:ascii="Calibri" w:hAnsi="Calibri"/>
                <w:b/>
                <w:bCs/>
                <w:sz w:val="20"/>
                <w:szCs w:val="20"/>
              </w:rPr>
            </w:pPr>
            <w:r>
              <w:rPr>
                <w:rFonts w:ascii="Calibri" w:hAnsi="Calibri"/>
                <w:b/>
                <w:bCs/>
                <w:sz w:val="20"/>
                <w:szCs w:val="20"/>
              </w:rPr>
              <w:t>Ryzyko wystąpienia</w:t>
            </w:r>
          </w:p>
        </w:tc>
        <w:tc>
          <w:tcPr>
            <w:tcW w:w="208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E7B8B5B" w14:textId="77777777" w:rsidR="00B52E8A" w:rsidRDefault="00B52E8A" w:rsidP="008C6B8F">
            <w:pPr>
              <w:pStyle w:val="TableContents"/>
              <w:spacing w:line="360" w:lineRule="auto"/>
              <w:rPr>
                <w:rFonts w:ascii="Calibri" w:hAnsi="Calibri"/>
                <w:b/>
                <w:bCs/>
                <w:sz w:val="20"/>
                <w:szCs w:val="20"/>
              </w:rPr>
            </w:pPr>
            <w:r>
              <w:rPr>
                <w:rFonts w:ascii="Calibri" w:hAnsi="Calibri"/>
                <w:b/>
                <w:bCs/>
                <w:sz w:val="20"/>
                <w:szCs w:val="20"/>
              </w:rPr>
              <w:t>Sposób wykrywania       i zapobiegania</w:t>
            </w:r>
          </w:p>
        </w:tc>
      </w:tr>
      <w:tr w:rsidR="00B52E8A" w14:paraId="5E2EBAC4" w14:textId="77777777" w:rsidTr="008C6B8F">
        <w:tblPrEx>
          <w:tblCellMar>
            <w:top w:w="0" w:type="dxa"/>
            <w:bottom w:w="0" w:type="dxa"/>
          </w:tblCellMar>
        </w:tblPrEx>
        <w:tc>
          <w:tcPr>
            <w:tcW w:w="749" w:type="dxa"/>
            <w:tcBorders>
              <w:left w:val="single" w:sz="2" w:space="0" w:color="000000"/>
              <w:bottom w:val="single" w:sz="2" w:space="0" w:color="000000"/>
            </w:tcBorders>
            <w:shd w:val="clear" w:color="auto" w:fill="auto"/>
            <w:tcMar>
              <w:top w:w="55" w:type="dxa"/>
              <w:left w:w="55" w:type="dxa"/>
              <w:bottom w:w="55" w:type="dxa"/>
              <w:right w:w="55" w:type="dxa"/>
            </w:tcMar>
          </w:tcPr>
          <w:p w14:paraId="6CF4EB4B" w14:textId="77777777" w:rsidR="00B52E8A" w:rsidRDefault="00B52E8A" w:rsidP="008C6B8F">
            <w:pPr>
              <w:pStyle w:val="TableContents"/>
              <w:spacing w:line="360" w:lineRule="auto"/>
              <w:rPr>
                <w:rFonts w:ascii="Calibri" w:hAnsi="Calibri"/>
                <w:sz w:val="20"/>
                <w:szCs w:val="20"/>
              </w:rPr>
            </w:pPr>
            <w:r>
              <w:rPr>
                <w:rFonts w:ascii="Calibri" w:hAnsi="Calibri"/>
                <w:sz w:val="20"/>
                <w:szCs w:val="20"/>
              </w:rPr>
              <w:t>R1</w:t>
            </w:r>
          </w:p>
        </w:tc>
        <w:tc>
          <w:tcPr>
            <w:tcW w:w="1471" w:type="dxa"/>
            <w:tcBorders>
              <w:left w:val="single" w:sz="2" w:space="0" w:color="000000"/>
              <w:bottom w:val="single" w:sz="2" w:space="0" w:color="000000"/>
            </w:tcBorders>
            <w:shd w:val="clear" w:color="auto" w:fill="auto"/>
            <w:tcMar>
              <w:top w:w="55" w:type="dxa"/>
              <w:left w:w="55" w:type="dxa"/>
              <w:bottom w:w="55" w:type="dxa"/>
              <w:right w:w="55" w:type="dxa"/>
            </w:tcMar>
          </w:tcPr>
          <w:p w14:paraId="0AF37FAE" w14:textId="77777777" w:rsidR="00B52E8A" w:rsidRDefault="00B52E8A" w:rsidP="008C6B8F">
            <w:pPr>
              <w:pStyle w:val="TableContents"/>
              <w:spacing w:line="360" w:lineRule="auto"/>
              <w:rPr>
                <w:rFonts w:ascii="Calibri" w:hAnsi="Calibri"/>
                <w:sz w:val="20"/>
                <w:szCs w:val="20"/>
              </w:rPr>
            </w:pPr>
            <w:r>
              <w:rPr>
                <w:rFonts w:ascii="Calibri" w:hAnsi="Calibri"/>
                <w:sz w:val="20"/>
                <w:szCs w:val="20"/>
              </w:rPr>
              <w:t>Dokumentacja, czynności niezgodne z ustawą PZP</w:t>
            </w:r>
          </w:p>
        </w:tc>
        <w:tc>
          <w:tcPr>
            <w:tcW w:w="4214" w:type="dxa"/>
            <w:tcBorders>
              <w:left w:val="single" w:sz="2" w:space="0" w:color="000000"/>
              <w:bottom w:val="single" w:sz="2" w:space="0" w:color="000000"/>
            </w:tcBorders>
            <w:shd w:val="clear" w:color="auto" w:fill="auto"/>
            <w:tcMar>
              <w:top w:w="55" w:type="dxa"/>
              <w:left w:w="55" w:type="dxa"/>
              <w:bottom w:w="55" w:type="dxa"/>
              <w:right w:w="55" w:type="dxa"/>
            </w:tcMar>
          </w:tcPr>
          <w:p w14:paraId="3A75EB30" w14:textId="77777777" w:rsidR="00B52E8A" w:rsidRDefault="00B52E8A" w:rsidP="008C6B8F">
            <w:pPr>
              <w:pStyle w:val="TableContents"/>
              <w:spacing w:line="360" w:lineRule="auto"/>
              <w:rPr>
                <w:rFonts w:ascii="Calibri" w:hAnsi="Calibri"/>
                <w:sz w:val="20"/>
                <w:szCs w:val="20"/>
              </w:rPr>
            </w:pPr>
            <w:r>
              <w:rPr>
                <w:rFonts w:ascii="Calibri" w:hAnsi="Calibri"/>
                <w:sz w:val="20"/>
                <w:szCs w:val="20"/>
              </w:rPr>
              <w:t>Brak zapisów w dokumentacji przetargowej obligatoryjnych zgodnie z ustawą PZP. Różnice w zapisach dokumentów SIWZ i ogłoszeniu</w:t>
            </w:r>
          </w:p>
        </w:tc>
        <w:tc>
          <w:tcPr>
            <w:tcW w:w="1126" w:type="dxa"/>
            <w:tcBorders>
              <w:left w:val="single" w:sz="2" w:space="0" w:color="000000"/>
              <w:bottom w:val="single" w:sz="2" w:space="0" w:color="000000"/>
            </w:tcBorders>
            <w:shd w:val="clear" w:color="auto" w:fill="auto"/>
            <w:tcMar>
              <w:top w:w="55" w:type="dxa"/>
              <w:left w:w="55" w:type="dxa"/>
              <w:bottom w:w="55" w:type="dxa"/>
              <w:right w:w="55" w:type="dxa"/>
            </w:tcMar>
          </w:tcPr>
          <w:p w14:paraId="58CC5406" w14:textId="77777777" w:rsidR="00B52E8A" w:rsidRDefault="00B52E8A" w:rsidP="008C6B8F">
            <w:pPr>
              <w:pStyle w:val="TableContents"/>
              <w:spacing w:line="360" w:lineRule="auto"/>
              <w:rPr>
                <w:rFonts w:ascii="Calibri" w:hAnsi="Calibri"/>
                <w:sz w:val="20"/>
                <w:szCs w:val="20"/>
              </w:rPr>
            </w:pPr>
            <w:r>
              <w:rPr>
                <w:rFonts w:ascii="Calibri" w:hAnsi="Calibri"/>
                <w:sz w:val="20"/>
                <w:szCs w:val="20"/>
              </w:rPr>
              <w:t>małe</w:t>
            </w:r>
          </w:p>
        </w:tc>
        <w:tc>
          <w:tcPr>
            <w:tcW w:w="20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1C03DE0" w14:textId="77777777" w:rsidR="00B52E8A" w:rsidRDefault="00B52E8A" w:rsidP="008C6B8F">
            <w:pPr>
              <w:pStyle w:val="TableContents"/>
              <w:spacing w:line="360" w:lineRule="auto"/>
              <w:rPr>
                <w:rFonts w:ascii="Calibri" w:hAnsi="Calibri"/>
                <w:sz w:val="20"/>
                <w:szCs w:val="20"/>
              </w:rPr>
            </w:pPr>
            <w:r>
              <w:rPr>
                <w:rFonts w:ascii="Calibri" w:hAnsi="Calibri"/>
                <w:sz w:val="20"/>
                <w:szCs w:val="20"/>
              </w:rPr>
              <w:t>kontrola wewnętrzna,</w:t>
            </w:r>
          </w:p>
          <w:p w14:paraId="37129018" w14:textId="77777777" w:rsidR="00B52E8A" w:rsidRDefault="00B52E8A" w:rsidP="008C6B8F">
            <w:pPr>
              <w:pStyle w:val="TableContents"/>
              <w:spacing w:line="360" w:lineRule="auto"/>
              <w:rPr>
                <w:rFonts w:ascii="Calibri" w:hAnsi="Calibri"/>
                <w:sz w:val="20"/>
                <w:szCs w:val="20"/>
              </w:rPr>
            </w:pPr>
            <w:r>
              <w:rPr>
                <w:rFonts w:ascii="Calibri" w:hAnsi="Calibri"/>
                <w:sz w:val="20"/>
                <w:szCs w:val="20"/>
              </w:rPr>
              <w:t>sprawdzanie zgodności dokumentacyjnej</w:t>
            </w:r>
          </w:p>
        </w:tc>
      </w:tr>
      <w:tr w:rsidR="00B52E8A" w14:paraId="0233026E" w14:textId="77777777" w:rsidTr="008C6B8F">
        <w:tblPrEx>
          <w:tblCellMar>
            <w:top w:w="0" w:type="dxa"/>
            <w:bottom w:w="0" w:type="dxa"/>
          </w:tblCellMar>
        </w:tblPrEx>
        <w:tc>
          <w:tcPr>
            <w:tcW w:w="749" w:type="dxa"/>
            <w:tcBorders>
              <w:left w:val="single" w:sz="2" w:space="0" w:color="000000"/>
              <w:bottom w:val="single" w:sz="2" w:space="0" w:color="000000"/>
            </w:tcBorders>
            <w:shd w:val="clear" w:color="auto" w:fill="auto"/>
            <w:tcMar>
              <w:top w:w="55" w:type="dxa"/>
              <w:left w:w="55" w:type="dxa"/>
              <w:bottom w:w="55" w:type="dxa"/>
              <w:right w:w="55" w:type="dxa"/>
            </w:tcMar>
          </w:tcPr>
          <w:p w14:paraId="41BFC712" w14:textId="77777777" w:rsidR="00B52E8A" w:rsidRDefault="00B52E8A" w:rsidP="008C6B8F">
            <w:pPr>
              <w:pStyle w:val="TableContents"/>
              <w:spacing w:line="360" w:lineRule="auto"/>
              <w:rPr>
                <w:rFonts w:ascii="Calibri" w:hAnsi="Calibri"/>
                <w:sz w:val="20"/>
                <w:szCs w:val="20"/>
              </w:rPr>
            </w:pPr>
            <w:r>
              <w:rPr>
                <w:rFonts w:ascii="Calibri" w:hAnsi="Calibri"/>
                <w:sz w:val="20"/>
                <w:szCs w:val="20"/>
              </w:rPr>
              <w:t>R2</w:t>
            </w:r>
          </w:p>
        </w:tc>
        <w:tc>
          <w:tcPr>
            <w:tcW w:w="1471" w:type="dxa"/>
            <w:tcBorders>
              <w:left w:val="single" w:sz="2" w:space="0" w:color="000000"/>
              <w:bottom w:val="single" w:sz="2" w:space="0" w:color="000000"/>
            </w:tcBorders>
            <w:shd w:val="clear" w:color="auto" w:fill="auto"/>
            <w:tcMar>
              <w:top w:w="55" w:type="dxa"/>
              <w:left w:w="55" w:type="dxa"/>
              <w:bottom w:w="55" w:type="dxa"/>
              <w:right w:w="55" w:type="dxa"/>
            </w:tcMar>
          </w:tcPr>
          <w:p w14:paraId="7544DD85" w14:textId="77777777" w:rsidR="00B52E8A" w:rsidRDefault="00B52E8A" w:rsidP="008C6B8F">
            <w:pPr>
              <w:pStyle w:val="TableContents"/>
              <w:spacing w:line="360" w:lineRule="auto"/>
              <w:rPr>
                <w:rFonts w:ascii="Calibri" w:hAnsi="Calibri"/>
                <w:sz w:val="20"/>
                <w:szCs w:val="20"/>
              </w:rPr>
            </w:pPr>
            <w:r>
              <w:rPr>
                <w:rFonts w:ascii="Calibri" w:hAnsi="Calibri"/>
                <w:sz w:val="20"/>
                <w:szCs w:val="20"/>
              </w:rPr>
              <w:t>Fałszowanie dokumentów</w:t>
            </w:r>
          </w:p>
        </w:tc>
        <w:tc>
          <w:tcPr>
            <w:tcW w:w="4214" w:type="dxa"/>
            <w:tcBorders>
              <w:left w:val="single" w:sz="2" w:space="0" w:color="000000"/>
              <w:bottom w:val="single" w:sz="2" w:space="0" w:color="000000"/>
            </w:tcBorders>
            <w:shd w:val="clear" w:color="auto" w:fill="auto"/>
            <w:tcMar>
              <w:top w:w="55" w:type="dxa"/>
              <w:left w:w="55" w:type="dxa"/>
              <w:bottom w:w="55" w:type="dxa"/>
              <w:right w:w="55" w:type="dxa"/>
            </w:tcMar>
          </w:tcPr>
          <w:p w14:paraId="6DF32B4E" w14:textId="77777777" w:rsidR="00B52E8A" w:rsidRDefault="00B52E8A" w:rsidP="008C6B8F">
            <w:pPr>
              <w:pStyle w:val="TableContents"/>
              <w:spacing w:line="360" w:lineRule="auto"/>
              <w:rPr>
                <w:rFonts w:ascii="Calibri" w:hAnsi="Calibri"/>
                <w:sz w:val="20"/>
                <w:szCs w:val="20"/>
              </w:rPr>
            </w:pPr>
            <w:r>
              <w:rPr>
                <w:rFonts w:ascii="Calibri" w:hAnsi="Calibri"/>
                <w:sz w:val="20"/>
                <w:szCs w:val="20"/>
              </w:rPr>
              <w:t>1. Fałszerstwo materialne polegające na przerobieniu, podrobieniu lub użyciu sfałszowanego dokumentu,  w tym m.in. podrobieniu podpisu</w:t>
            </w:r>
          </w:p>
          <w:p w14:paraId="24D13012" w14:textId="77777777" w:rsidR="00B52E8A" w:rsidRDefault="00B52E8A" w:rsidP="008C6B8F">
            <w:pPr>
              <w:pStyle w:val="TableContents"/>
              <w:spacing w:line="360" w:lineRule="auto"/>
              <w:rPr>
                <w:rFonts w:ascii="Calibri" w:hAnsi="Calibri"/>
                <w:sz w:val="20"/>
                <w:szCs w:val="20"/>
              </w:rPr>
            </w:pPr>
            <w:r>
              <w:rPr>
                <w:rFonts w:ascii="Calibri" w:hAnsi="Calibri"/>
                <w:sz w:val="20"/>
                <w:szCs w:val="20"/>
              </w:rPr>
              <w:t xml:space="preserve">2. Fałszerstwo </w:t>
            </w:r>
            <w:proofErr w:type="spellStart"/>
            <w:r>
              <w:rPr>
                <w:rFonts w:ascii="Calibri" w:hAnsi="Calibri"/>
                <w:sz w:val="20"/>
                <w:szCs w:val="20"/>
              </w:rPr>
              <w:t>intelektualne-urzędowe</w:t>
            </w:r>
            <w:proofErr w:type="spellEnd"/>
            <w:r>
              <w:rPr>
                <w:rFonts w:ascii="Calibri" w:hAnsi="Calibri"/>
                <w:sz w:val="20"/>
                <w:szCs w:val="20"/>
              </w:rPr>
              <w:t xml:space="preserve"> poświadczenie nieprawdy co do okoliczności mającej znaczenie prawne, polega m.in. na potwierdzeniu okoliczności, które nie miały miejsca, na ich przeinaczeniu albo na zatajeniu</w:t>
            </w:r>
          </w:p>
        </w:tc>
        <w:tc>
          <w:tcPr>
            <w:tcW w:w="1126" w:type="dxa"/>
            <w:tcBorders>
              <w:left w:val="single" w:sz="2" w:space="0" w:color="000000"/>
              <w:bottom w:val="single" w:sz="2" w:space="0" w:color="000000"/>
            </w:tcBorders>
            <w:shd w:val="clear" w:color="auto" w:fill="auto"/>
            <w:tcMar>
              <w:top w:w="55" w:type="dxa"/>
              <w:left w:w="55" w:type="dxa"/>
              <w:bottom w:w="55" w:type="dxa"/>
              <w:right w:w="55" w:type="dxa"/>
            </w:tcMar>
          </w:tcPr>
          <w:p w14:paraId="082DE933" w14:textId="77777777" w:rsidR="00B52E8A" w:rsidRDefault="00B52E8A" w:rsidP="008C6B8F">
            <w:pPr>
              <w:pStyle w:val="TableContents"/>
              <w:spacing w:line="360" w:lineRule="auto"/>
              <w:rPr>
                <w:rFonts w:ascii="Calibri" w:hAnsi="Calibri"/>
                <w:sz w:val="20"/>
                <w:szCs w:val="20"/>
              </w:rPr>
            </w:pPr>
            <w:r>
              <w:rPr>
                <w:rFonts w:ascii="Calibri" w:hAnsi="Calibri"/>
                <w:sz w:val="20"/>
                <w:szCs w:val="20"/>
              </w:rPr>
              <w:t>małe</w:t>
            </w:r>
          </w:p>
        </w:tc>
        <w:tc>
          <w:tcPr>
            <w:tcW w:w="20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4580804" w14:textId="77777777" w:rsidR="00B52E8A" w:rsidRDefault="00B52E8A" w:rsidP="008C6B8F">
            <w:pPr>
              <w:pStyle w:val="TableContents"/>
              <w:spacing w:line="360" w:lineRule="auto"/>
              <w:rPr>
                <w:rFonts w:ascii="Calibri" w:hAnsi="Calibri"/>
                <w:sz w:val="20"/>
                <w:szCs w:val="20"/>
              </w:rPr>
            </w:pPr>
            <w:r>
              <w:rPr>
                <w:rFonts w:ascii="Calibri" w:hAnsi="Calibri"/>
                <w:sz w:val="20"/>
                <w:szCs w:val="20"/>
              </w:rPr>
              <w:t>-specjalistyczne szkolenia pracowników,</w:t>
            </w:r>
          </w:p>
          <w:p w14:paraId="20386E07" w14:textId="77777777" w:rsidR="00B52E8A" w:rsidRDefault="00B52E8A" w:rsidP="008C6B8F">
            <w:pPr>
              <w:pStyle w:val="TableContents"/>
              <w:spacing w:line="360" w:lineRule="auto"/>
              <w:rPr>
                <w:rFonts w:ascii="Calibri" w:hAnsi="Calibri"/>
                <w:sz w:val="20"/>
                <w:szCs w:val="20"/>
              </w:rPr>
            </w:pPr>
          </w:p>
          <w:p w14:paraId="2FE1BD96" w14:textId="77777777" w:rsidR="00B52E8A" w:rsidRDefault="00B52E8A" w:rsidP="008C6B8F">
            <w:pPr>
              <w:pStyle w:val="TableContents"/>
              <w:spacing w:line="360" w:lineRule="auto"/>
              <w:rPr>
                <w:rFonts w:ascii="Calibri" w:hAnsi="Calibri"/>
                <w:sz w:val="20"/>
                <w:szCs w:val="20"/>
              </w:rPr>
            </w:pPr>
            <w:r>
              <w:rPr>
                <w:rFonts w:ascii="Calibri" w:hAnsi="Calibri"/>
                <w:sz w:val="20"/>
                <w:szCs w:val="20"/>
              </w:rPr>
              <w:t>- bieżąca kontrola realizacji projektu</w:t>
            </w:r>
          </w:p>
        </w:tc>
      </w:tr>
      <w:tr w:rsidR="00B52E8A" w14:paraId="3973F3A2" w14:textId="77777777" w:rsidTr="008C6B8F">
        <w:tblPrEx>
          <w:tblCellMar>
            <w:top w:w="0" w:type="dxa"/>
            <w:bottom w:w="0" w:type="dxa"/>
          </w:tblCellMar>
        </w:tblPrEx>
        <w:tc>
          <w:tcPr>
            <w:tcW w:w="749" w:type="dxa"/>
            <w:tcBorders>
              <w:left w:val="single" w:sz="2" w:space="0" w:color="000000"/>
              <w:bottom w:val="single" w:sz="2" w:space="0" w:color="000000"/>
            </w:tcBorders>
            <w:shd w:val="clear" w:color="auto" w:fill="auto"/>
            <w:tcMar>
              <w:top w:w="55" w:type="dxa"/>
              <w:left w:w="55" w:type="dxa"/>
              <w:bottom w:w="55" w:type="dxa"/>
              <w:right w:w="55" w:type="dxa"/>
            </w:tcMar>
          </w:tcPr>
          <w:p w14:paraId="79F0EEC1" w14:textId="77777777" w:rsidR="00B52E8A" w:rsidRDefault="00B52E8A" w:rsidP="008C6B8F">
            <w:pPr>
              <w:pStyle w:val="TableContents"/>
              <w:spacing w:line="360" w:lineRule="auto"/>
              <w:rPr>
                <w:rFonts w:ascii="Calibri" w:hAnsi="Calibri"/>
                <w:sz w:val="20"/>
                <w:szCs w:val="20"/>
              </w:rPr>
            </w:pPr>
            <w:r>
              <w:rPr>
                <w:rFonts w:ascii="Calibri" w:hAnsi="Calibri"/>
                <w:sz w:val="20"/>
                <w:szCs w:val="20"/>
              </w:rPr>
              <w:t>R3</w:t>
            </w:r>
          </w:p>
        </w:tc>
        <w:tc>
          <w:tcPr>
            <w:tcW w:w="1471" w:type="dxa"/>
            <w:tcBorders>
              <w:left w:val="single" w:sz="2" w:space="0" w:color="000000"/>
              <w:bottom w:val="single" w:sz="2" w:space="0" w:color="000000"/>
            </w:tcBorders>
            <w:shd w:val="clear" w:color="auto" w:fill="auto"/>
            <w:tcMar>
              <w:top w:w="55" w:type="dxa"/>
              <w:left w:w="55" w:type="dxa"/>
              <w:bottom w:w="55" w:type="dxa"/>
              <w:right w:w="55" w:type="dxa"/>
            </w:tcMar>
          </w:tcPr>
          <w:p w14:paraId="2B04562E" w14:textId="77777777" w:rsidR="00B52E8A" w:rsidRDefault="00B52E8A" w:rsidP="008C6B8F">
            <w:pPr>
              <w:pStyle w:val="TableContents"/>
              <w:spacing w:line="360" w:lineRule="auto"/>
              <w:rPr>
                <w:rFonts w:ascii="Calibri" w:hAnsi="Calibri"/>
                <w:sz w:val="20"/>
                <w:szCs w:val="20"/>
              </w:rPr>
            </w:pPr>
            <w:r>
              <w:rPr>
                <w:rFonts w:ascii="Calibri" w:hAnsi="Calibri"/>
                <w:sz w:val="20"/>
                <w:szCs w:val="20"/>
              </w:rPr>
              <w:t>Manipulowanie przebiegiem procedury konkurencyjnej</w:t>
            </w:r>
          </w:p>
        </w:tc>
        <w:tc>
          <w:tcPr>
            <w:tcW w:w="4214" w:type="dxa"/>
            <w:tcBorders>
              <w:left w:val="single" w:sz="2" w:space="0" w:color="000000"/>
              <w:bottom w:val="single" w:sz="2" w:space="0" w:color="000000"/>
            </w:tcBorders>
            <w:shd w:val="clear" w:color="auto" w:fill="auto"/>
            <w:tcMar>
              <w:top w:w="55" w:type="dxa"/>
              <w:left w:w="55" w:type="dxa"/>
              <w:bottom w:w="55" w:type="dxa"/>
              <w:right w:w="55" w:type="dxa"/>
            </w:tcMar>
          </w:tcPr>
          <w:p w14:paraId="606AFB0D" w14:textId="77777777" w:rsidR="00B52E8A" w:rsidRDefault="00B52E8A" w:rsidP="008C6B8F">
            <w:pPr>
              <w:pStyle w:val="TableContents"/>
              <w:spacing w:line="360" w:lineRule="auto"/>
              <w:rPr>
                <w:rFonts w:ascii="Calibri" w:hAnsi="Calibri"/>
                <w:sz w:val="20"/>
                <w:szCs w:val="20"/>
              </w:rPr>
            </w:pPr>
            <w:r>
              <w:rPr>
                <w:rFonts w:ascii="Calibri" w:hAnsi="Calibri"/>
                <w:sz w:val="20"/>
                <w:szCs w:val="20"/>
              </w:rPr>
              <w:t xml:space="preserve">1. Członek komisji przetargowej może dostosować zaproszenie do przetargu lub zapytanie ofertowe tak, by zawierały specyfikacje, które są przygotowane pod kątem kwalifikacji danego oferenta lub którym tylko jeden oferent może sprostać. Zawężone specyfikacje mogą być  wykorzystywane w celu wykluczenia pozostałych </w:t>
            </w:r>
            <w:r>
              <w:rPr>
                <w:rFonts w:ascii="Calibri" w:hAnsi="Calibri"/>
                <w:sz w:val="20"/>
                <w:szCs w:val="20"/>
              </w:rPr>
              <w:lastRenderedPageBreak/>
              <w:t>kwalifikujących się oferentów.</w:t>
            </w:r>
          </w:p>
          <w:p w14:paraId="032E017C" w14:textId="77777777" w:rsidR="00B52E8A" w:rsidRDefault="00B52E8A" w:rsidP="008C6B8F">
            <w:pPr>
              <w:pStyle w:val="TableContents"/>
              <w:spacing w:line="360" w:lineRule="auto"/>
              <w:rPr>
                <w:rFonts w:ascii="Calibri" w:hAnsi="Calibri"/>
                <w:sz w:val="20"/>
                <w:szCs w:val="20"/>
              </w:rPr>
            </w:pPr>
            <w:r>
              <w:rPr>
                <w:rFonts w:ascii="Calibri" w:hAnsi="Calibri"/>
                <w:sz w:val="20"/>
                <w:szCs w:val="20"/>
              </w:rPr>
              <w:t xml:space="preserve"> 2. Pracownicy  odpowiedzialni za proces przetargowy, opracowanie projektu lub ocenę ofert mogą ujawnić poufne informacje, aby pomóc wybranemu oferentowi  w skonstruowaniu najlepszej oferty technicznej lub finansowej. Dane takie mogą dotyczyć szacunkowego budżetu, preferowanych rozwiązań lub szczegółów oferty konkurentów.</w:t>
            </w:r>
          </w:p>
          <w:p w14:paraId="16FBAAC5" w14:textId="77777777" w:rsidR="00B52E8A" w:rsidRDefault="00B52E8A" w:rsidP="008C6B8F">
            <w:pPr>
              <w:pStyle w:val="TableContents"/>
              <w:spacing w:line="360" w:lineRule="auto"/>
              <w:rPr>
                <w:rFonts w:ascii="Calibri" w:hAnsi="Calibri"/>
                <w:sz w:val="20"/>
                <w:szCs w:val="20"/>
              </w:rPr>
            </w:pPr>
            <w:r>
              <w:rPr>
                <w:rFonts w:ascii="Calibri" w:hAnsi="Calibri"/>
                <w:sz w:val="20"/>
                <w:szCs w:val="20"/>
              </w:rPr>
              <w:t xml:space="preserve">3. Członek komisji przetargowej może manipulować ofertami po ich otrzymaniu tak, by zapewnić wybór faworyzowanego wykonawcy.  </w:t>
            </w:r>
          </w:p>
        </w:tc>
        <w:tc>
          <w:tcPr>
            <w:tcW w:w="1126" w:type="dxa"/>
            <w:tcBorders>
              <w:left w:val="single" w:sz="2" w:space="0" w:color="000000"/>
              <w:bottom w:val="single" w:sz="2" w:space="0" w:color="000000"/>
            </w:tcBorders>
            <w:shd w:val="clear" w:color="auto" w:fill="auto"/>
            <w:tcMar>
              <w:top w:w="55" w:type="dxa"/>
              <w:left w:w="55" w:type="dxa"/>
              <w:bottom w:w="55" w:type="dxa"/>
              <w:right w:w="55" w:type="dxa"/>
            </w:tcMar>
          </w:tcPr>
          <w:p w14:paraId="4FD30E4D" w14:textId="77777777" w:rsidR="00B52E8A" w:rsidRDefault="00B52E8A" w:rsidP="008C6B8F">
            <w:pPr>
              <w:pStyle w:val="TableContents"/>
              <w:spacing w:line="360" w:lineRule="auto"/>
              <w:rPr>
                <w:rFonts w:ascii="Calibri" w:hAnsi="Calibri"/>
                <w:sz w:val="20"/>
                <w:szCs w:val="20"/>
              </w:rPr>
            </w:pPr>
            <w:r>
              <w:rPr>
                <w:rFonts w:ascii="Calibri" w:hAnsi="Calibri"/>
                <w:sz w:val="20"/>
                <w:szCs w:val="20"/>
              </w:rPr>
              <w:lastRenderedPageBreak/>
              <w:t>małe</w:t>
            </w:r>
          </w:p>
        </w:tc>
        <w:tc>
          <w:tcPr>
            <w:tcW w:w="20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ED87C6E" w14:textId="77777777" w:rsidR="00B52E8A" w:rsidRDefault="00B52E8A" w:rsidP="008C6B8F">
            <w:pPr>
              <w:pStyle w:val="TableContents"/>
              <w:spacing w:line="360" w:lineRule="auto"/>
              <w:rPr>
                <w:rFonts w:ascii="Calibri" w:hAnsi="Calibri"/>
                <w:sz w:val="20"/>
                <w:szCs w:val="20"/>
              </w:rPr>
            </w:pPr>
            <w:r>
              <w:rPr>
                <w:rFonts w:ascii="Calibri" w:hAnsi="Calibri"/>
                <w:sz w:val="20"/>
                <w:szCs w:val="20"/>
              </w:rPr>
              <w:t>- ocena specyfikacji przetargowej przez ekspertów z danej dziedziny</w:t>
            </w:r>
          </w:p>
          <w:p w14:paraId="022A8DB6" w14:textId="77777777" w:rsidR="00B52E8A" w:rsidRDefault="00B52E8A" w:rsidP="008C6B8F">
            <w:pPr>
              <w:pStyle w:val="TableContents"/>
              <w:spacing w:line="360" w:lineRule="auto"/>
              <w:rPr>
                <w:rFonts w:ascii="Calibri" w:hAnsi="Calibri"/>
                <w:sz w:val="20"/>
                <w:szCs w:val="20"/>
              </w:rPr>
            </w:pPr>
          </w:p>
          <w:p w14:paraId="358B3B6F" w14:textId="77777777" w:rsidR="00B52E8A" w:rsidRDefault="00B52E8A" w:rsidP="008C6B8F">
            <w:pPr>
              <w:pStyle w:val="TableContents"/>
              <w:spacing w:line="360" w:lineRule="auto"/>
              <w:rPr>
                <w:rFonts w:ascii="Calibri" w:hAnsi="Calibri"/>
                <w:sz w:val="20"/>
                <w:szCs w:val="20"/>
              </w:rPr>
            </w:pPr>
            <w:r>
              <w:rPr>
                <w:rFonts w:ascii="Calibri" w:hAnsi="Calibri"/>
                <w:sz w:val="20"/>
                <w:szCs w:val="20"/>
              </w:rPr>
              <w:t xml:space="preserve">- podpisanie oświadczeń o braku </w:t>
            </w:r>
            <w:r>
              <w:rPr>
                <w:rFonts w:ascii="Calibri" w:hAnsi="Calibri"/>
                <w:sz w:val="20"/>
                <w:szCs w:val="20"/>
              </w:rPr>
              <w:lastRenderedPageBreak/>
              <w:t>powiązań pomiędzy oferentami a członkami komisji przetargowej</w:t>
            </w:r>
          </w:p>
        </w:tc>
      </w:tr>
      <w:tr w:rsidR="00B52E8A" w14:paraId="5751BC2A" w14:textId="77777777" w:rsidTr="008C6B8F">
        <w:tblPrEx>
          <w:tblCellMar>
            <w:top w:w="0" w:type="dxa"/>
            <w:bottom w:w="0" w:type="dxa"/>
          </w:tblCellMar>
        </w:tblPrEx>
        <w:tc>
          <w:tcPr>
            <w:tcW w:w="749" w:type="dxa"/>
            <w:tcBorders>
              <w:left w:val="single" w:sz="2" w:space="0" w:color="000000"/>
              <w:bottom w:val="single" w:sz="2" w:space="0" w:color="000000"/>
            </w:tcBorders>
            <w:shd w:val="clear" w:color="auto" w:fill="auto"/>
            <w:tcMar>
              <w:top w:w="55" w:type="dxa"/>
              <w:left w:w="55" w:type="dxa"/>
              <w:bottom w:w="55" w:type="dxa"/>
              <w:right w:w="55" w:type="dxa"/>
            </w:tcMar>
          </w:tcPr>
          <w:p w14:paraId="30566452" w14:textId="77777777" w:rsidR="00B52E8A" w:rsidRDefault="00B52E8A" w:rsidP="008C6B8F">
            <w:pPr>
              <w:pStyle w:val="TableContents"/>
              <w:spacing w:line="360" w:lineRule="auto"/>
              <w:rPr>
                <w:rFonts w:ascii="Calibri" w:hAnsi="Calibri"/>
                <w:sz w:val="20"/>
                <w:szCs w:val="20"/>
              </w:rPr>
            </w:pPr>
            <w:r>
              <w:rPr>
                <w:rFonts w:ascii="Calibri" w:hAnsi="Calibri"/>
                <w:sz w:val="20"/>
                <w:szCs w:val="20"/>
              </w:rPr>
              <w:lastRenderedPageBreak/>
              <w:t>R4</w:t>
            </w:r>
          </w:p>
        </w:tc>
        <w:tc>
          <w:tcPr>
            <w:tcW w:w="1471" w:type="dxa"/>
            <w:tcBorders>
              <w:left w:val="single" w:sz="2" w:space="0" w:color="000000"/>
              <w:bottom w:val="single" w:sz="2" w:space="0" w:color="000000"/>
            </w:tcBorders>
            <w:shd w:val="clear" w:color="auto" w:fill="auto"/>
            <w:tcMar>
              <w:top w:w="55" w:type="dxa"/>
              <w:left w:w="55" w:type="dxa"/>
              <w:bottom w:w="55" w:type="dxa"/>
              <w:right w:w="55" w:type="dxa"/>
            </w:tcMar>
          </w:tcPr>
          <w:p w14:paraId="7D5368CA" w14:textId="77777777" w:rsidR="00B52E8A" w:rsidRDefault="00B52E8A" w:rsidP="008C6B8F">
            <w:pPr>
              <w:pStyle w:val="TableContents"/>
              <w:spacing w:line="360" w:lineRule="auto"/>
              <w:rPr>
                <w:rFonts w:ascii="Calibri" w:hAnsi="Calibri"/>
                <w:sz w:val="20"/>
                <w:szCs w:val="20"/>
              </w:rPr>
            </w:pPr>
            <w:r>
              <w:rPr>
                <w:rFonts w:ascii="Calibri" w:hAnsi="Calibri"/>
                <w:sz w:val="20"/>
                <w:szCs w:val="20"/>
              </w:rPr>
              <w:t>Podpisanie w protokołach, wnioskach o płatność nieprawdy</w:t>
            </w:r>
          </w:p>
        </w:tc>
        <w:tc>
          <w:tcPr>
            <w:tcW w:w="4214" w:type="dxa"/>
            <w:tcBorders>
              <w:left w:val="single" w:sz="2" w:space="0" w:color="000000"/>
              <w:bottom w:val="single" w:sz="2" w:space="0" w:color="000000"/>
            </w:tcBorders>
            <w:shd w:val="clear" w:color="auto" w:fill="auto"/>
            <w:tcMar>
              <w:top w:w="55" w:type="dxa"/>
              <w:left w:w="55" w:type="dxa"/>
              <w:bottom w:w="55" w:type="dxa"/>
              <w:right w:w="55" w:type="dxa"/>
            </w:tcMar>
          </w:tcPr>
          <w:p w14:paraId="03E806C5" w14:textId="77777777" w:rsidR="00B52E8A" w:rsidRDefault="00B52E8A" w:rsidP="008C6B8F">
            <w:pPr>
              <w:pStyle w:val="TableContents"/>
              <w:spacing w:line="360" w:lineRule="auto"/>
              <w:rPr>
                <w:rFonts w:ascii="Calibri" w:hAnsi="Calibri"/>
                <w:sz w:val="20"/>
                <w:szCs w:val="20"/>
              </w:rPr>
            </w:pPr>
            <w:r>
              <w:rPr>
                <w:rFonts w:ascii="Calibri" w:hAnsi="Calibri"/>
                <w:sz w:val="20"/>
                <w:szCs w:val="20"/>
              </w:rPr>
              <w:t>1. Nie wykonywanie projektu lub wykonywanie go              w sposób odbiegający od postanowień zawartych                w umowach i specyfikacjach</w:t>
            </w:r>
          </w:p>
          <w:p w14:paraId="775870EE" w14:textId="77777777" w:rsidR="00B52E8A" w:rsidRDefault="00B52E8A" w:rsidP="008C6B8F">
            <w:pPr>
              <w:pStyle w:val="TableContents"/>
              <w:spacing w:line="360" w:lineRule="auto"/>
              <w:rPr>
                <w:rFonts w:ascii="Calibri" w:hAnsi="Calibri"/>
                <w:sz w:val="20"/>
                <w:szCs w:val="20"/>
              </w:rPr>
            </w:pPr>
            <w:r>
              <w:rPr>
                <w:rFonts w:ascii="Calibri" w:hAnsi="Calibri"/>
                <w:sz w:val="20"/>
                <w:szCs w:val="20"/>
              </w:rPr>
              <w:t>2. Odbieranie usługi lub pracy niewykonanej lub wykonanej częściowo lub całkowicie niezgodnie z zamówieniami</w:t>
            </w:r>
          </w:p>
        </w:tc>
        <w:tc>
          <w:tcPr>
            <w:tcW w:w="1126" w:type="dxa"/>
            <w:tcBorders>
              <w:left w:val="single" w:sz="2" w:space="0" w:color="000000"/>
              <w:bottom w:val="single" w:sz="2" w:space="0" w:color="000000"/>
            </w:tcBorders>
            <w:shd w:val="clear" w:color="auto" w:fill="auto"/>
            <w:tcMar>
              <w:top w:w="55" w:type="dxa"/>
              <w:left w:w="55" w:type="dxa"/>
              <w:bottom w:w="55" w:type="dxa"/>
              <w:right w:w="55" w:type="dxa"/>
            </w:tcMar>
          </w:tcPr>
          <w:p w14:paraId="16F1519A" w14:textId="77777777" w:rsidR="00B52E8A" w:rsidRDefault="00B52E8A" w:rsidP="008C6B8F">
            <w:pPr>
              <w:pStyle w:val="TableContents"/>
              <w:spacing w:line="360" w:lineRule="auto"/>
              <w:rPr>
                <w:rFonts w:ascii="Calibri" w:hAnsi="Calibri"/>
                <w:sz w:val="20"/>
                <w:szCs w:val="20"/>
              </w:rPr>
            </w:pPr>
            <w:r>
              <w:rPr>
                <w:rFonts w:ascii="Calibri" w:hAnsi="Calibri"/>
                <w:sz w:val="20"/>
                <w:szCs w:val="20"/>
              </w:rPr>
              <w:t>małe</w:t>
            </w:r>
          </w:p>
        </w:tc>
        <w:tc>
          <w:tcPr>
            <w:tcW w:w="20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2D42D3A" w14:textId="77777777" w:rsidR="00B52E8A" w:rsidRDefault="00B52E8A" w:rsidP="008C6B8F">
            <w:pPr>
              <w:pStyle w:val="TableContents"/>
              <w:spacing w:line="360" w:lineRule="auto"/>
              <w:rPr>
                <w:rFonts w:ascii="Calibri" w:hAnsi="Calibri"/>
                <w:sz w:val="20"/>
                <w:szCs w:val="20"/>
              </w:rPr>
            </w:pPr>
            <w:r>
              <w:rPr>
                <w:rFonts w:ascii="Calibri" w:hAnsi="Calibri"/>
                <w:sz w:val="20"/>
                <w:szCs w:val="20"/>
              </w:rPr>
              <w:t>- członkowie JRP nadzorujący zamówienie podpisują protokoły wraz z inspektorami nadzoru oraz wykonawcą</w:t>
            </w:r>
          </w:p>
          <w:p w14:paraId="60D7F152" w14:textId="77777777" w:rsidR="00B52E8A" w:rsidRDefault="00B52E8A" w:rsidP="008C6B8F">
            <w:pPr>
              <w:pStyle w:val="TableContents"/>
              <w:spacing w:line="360" w:lineRule="auto"/>
              <w:rPr>
                <w:rFonts w:ascii="Calibri" w:hAnsi="Calibri"/>
                <w:sz w:val="20"/>
                <w:szCs w:val="20"/>
              </w:rPr>
            </w:pPr>
            <w:r>
              <w:rPr>
                <w:rFonts w:ascii="Calibri" w:hAnsi="Calibri"/>
                <w:sz w:val="20"/>
                <w:szCs w:val="20"/>
              </w:rPr>
              <w:t>-bieżące wewnętrzne kontrole wykonywania projektu pod kątem zgodności protokołów ze stanem faktycznym wykonanych prac</w:t>
            </w:r>
          </w:p>
        </w:tc>
      </w:tr>
      <w:tr w:rsidR="00B52E8A" w14:paraId="26A15906" w14:textId="77777777" w:rsidTr="008C6B8F">
        <w:tblPrEx>
          <w:tblCellMar>
            <w:top w:w="0" w:type="dxa"/>
            <w:bottom w:w="0" w:type="dxa"/>
          </w:tblCellMar>
        </w:tblPrEx>
        <w:tc>
          <w:tcPr>
            <w:tcW w:w="749" w:type="dxa"/>
            <w:tcBorders>
              <w:left w:val="single" w:sz="2" w:space="0" w:color="000000"/>
              <w:bottom w:val="single" w:sz="2" w:space="0" w:color="000000"/>
            </w:tcBorders>
            <w:shd w:val="clear" w:color="auto" w:fill="auto"/>
            <w:tcMar>
              <w:top w:w="55" w:type="dxa"/>
              <w:left w:w="55" w:type="dxa"/>
              <w:bottom w:w="55" w:type="dxa"/>
              <w:right w:w="55" w:type="dxa"/>
            </w:tcMar>
          </w:tcPr>
          <w:p w14:paraId="75AC8E3E" w14:textId="77777777" w:rsidR="00B52E8A" w:rsidRDefault="00B52E8A" w:rsidP="008C6B8F">
            <w:pPr>
              <w:pStyle w:val="TableContents"/>
              <w:spacing w:line="360" w:lineRule="auto"/>
              <w:rPr>
                <w:rFonts w:ascii="Calibri" w:hAnsi="Calibri"/>
                <w:sz w:val="20"/>
                <w:szCs w:val="20"/>
              </w:rPr>
            </w:pPr>
            <w:r>
              <w:rPr>
                <w:rFonts w:ascii="Calibri" w:hAnsi="Calibri"/>
                <w:sz w:val="20"/>
                <w:szCs w:val="20"/>
              </w:rPr>
              <w:t>R5</w:t>
            </w:r>
          </w:p>
        </w:tc>
        <w:tc>
          <w:tcPr>
            <w:tcW w:w="1471" w:type="dxa"/>
            <w:tcBorders>
              <w:left w:val="single" w:sz="2" w:space="0" w:color="000000"/>
              <w:bottom w:val="single" w:sz="2" w:space="0" w:color="000000"/>
            </w:tcBorders>
            <w:shd w:val="clear" w:color="auto" w:fill="auto"/>
            <w:tcMar>
              <w:top w:w="55" w:type="dxa"/>
              <w:left w:w="55" w:type="dxa"/>
              <w:bottom w:w="55" w:type="dxa"/>
              <w:right w:w="55" w:type="dxa"/>
            </w:tcMar>
          </w:tcPr>
          <w:p w14:paraId="77D9CB71" w14:textId="77777777" w:rsidR="00B52E8A" w:rsidRDefault="00B52E8A" w:rsidP="008C6B8F">
            <w:pPr>
              <w:pStyle w:val="TableContents"/>
              <w:spacing w:line="360" w:lineRule="auto"/>
              <w:rPr>
                <w:rFonts w:ascii="Calibri" w:hAnsi="Calibri"/>
                <w:sz w:val="20"/>
                <w:szCs w:val="20"/>
              </w:rPr>
            </w:pPr>
            <w:r>
              <w:rPr>
                <w:rFonts w:ascii="Calibri" w:hAnsi="Calibri"/>
                <w:sz w:val="20"/>
                <w:szCs w:val="20"/>
              </w:rPr>
              <w:t>Ukryty konflikt interesów lub łapówki i nielegalne honoraria</w:t>
            </w:r>
          </w:p>
        </w:tc>
        <w:tc>
          <w:tcPr>
            <w:tcW w:w="4214" w:type="dxa"/>
            <w:tcBorders>
              <w:left w:val="single" w:sz="2" w:space="0" w:color="000000"/>
              <w:bottom w:val="single" w:sz="2" w:space="0" w:color="000000"/>
            </w:tcBorders>
            <w:shd w:val="clear" w:color="auto" w:fill="auto"/>
            <w:tcMar>
              <w:top w:w="55" w:type="dxa"/>
              <w:left w:w="55" w:type="dxa"/>
              <w:bottom w:w="55" w:type="dxa"/>
              <w:right w:w="55" w:type="dxa"/>
            </w:tcMar>
          </w:tcPr>
          <w:p w14:paraId="795EB60B" w14:textId="77777777" w:rsidR="00B52E8A" w:rsidRDefault="00B52E8A" w:rsidP="008C6B8F">
            <w:pPr>
              <w:pStyle w:val="TableContents"/>
              <w:spacing w:line="360" w:lineRule="auto"/>
              <w:rPr>
                <w:rFonts w:ascii="Calibri" w:hAnsi="Calibri"/>
                <w:sz w:val="20"/>
                <w:szCs w:val="20"/>
              </w:rPr>
            </w:pPr>
            <w:r>
              <w:rPr>
                <w:rFonts w:ascii="Calibri" w:hAnsi="Calibri"/>
                <w:sz w:val="20"/>
                <w:szCs w:val="20"/>
              </w:rPr>
              <w:t>1. Zlecenie może zostać udzielone wykonawcy, z którym związane są interesy członka personelu, czy to finansowe, czy też innego rodzaju. podobnie wykonawcy mogą nie w pełni ujawniać wszystkie konflikty interesów, gdy występują o udzielenie zamówienia.</w:t>
            </w:r>
          </w:p>
          <w:p w14:paraId="417AB7E9" w14:textId="77777777" w:rsidR="00B52E8A" w:rsidRDefault="00B52E8A" w:rsidP="008C6B8F">
            <w:pPr>
              <w:pStyle w:val="TableContents"/>
              <w:spacing w:line="360" w:lineRule="auto"/>
              <w:rPr>
                <w:rFonts w:ascii="Calibri" w:hAnsi="Calibri"/>
                <w:sz w:val="20"/>
                <w:szCs w:val="20"/>
              </w:rPr>
            </w:pPr>
            <w:r>
              <w:rPr>
                <w:rFonts w:ascii="Calibri" w:hAnsi="Calibri"/>
                <w:sz w:val="20"/>
                <w:szCs w:val="20"/>
              </w:rPr>
              <w:t>2. Wykonawcy, którzy złożyli wniosek o udzielenie zamówienia, mogą oferować łapówki lub nielegalne honoraria, by wpłynąć na decyzję o udzieleniu zamówienia.</w:t>
            </w:r>
          </w:p>
        </w:tc>
        <w:tc>
          <w:tcPr>
            <w:tcW w:w="1126" w:type="dxa"/>
            <w:tcBorders>
              <w:left w:val="single" w:sz="2" w:space="0" w:color="000000"/>
              <w:bottom w:val="single" w:sz="2" w:space="0" w:color="000000"/>
            </w:tcBorders>
            <w:shd w:val="clear" w:color="auto" w:fill="auto"/>
            <w:tcMar>
              <w:top w:w="55" w:type="dxa"/>
              <w:left w:w="55" w:type="dxa"/>
              <w:bottom w:w="55" w:type="dxa"/>
              <w:right w:w="55" w:type="dxa"/>
            </w:tcMar>
          </w:tcPr>
          <w:p w14:paraId="1BEE3F7C" w14:textId="77777777" w:rsidR="00B52E8A" w:rsidRDefault="00B52E8A" w:rsidP="008C6B8F">
            <w:pPr>
              <w:pStyle w:val="TableContents"/>
              <w:spacing w:line="360" w:lineRule="auto"/>
              <w:rPr>
                <w:rFonts w:ascii="Calibri" w:hAnsi="Calibri"/>
                <w:sz w:val="20"/>
                <w:szCs w:val="20"/>
              </w:rPr>
            </w:pPr>
            <w:r>
              <w:rPr>
                <w:rFonts w:ascii="Calibri" w:hAnsi="Calibri"/>
                <w:sz w:val="20"/>
                <w:szCs w:val="20"/>
              </w:rPr>
              <w:t>małe</w:t>
            </w:r>
          </w:p>
        </w:tc>
        <w:tc>
          <w:tcPr>
            <w:tcW w:w="20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E0649B9" w14:textId="77777777" w:rsidR="00B52E8A" w:rsidRDefault="00B52E8A" w:rsidP="008C6B8F">
            <w:pPr>
              <w:pStyle w:val="TableContents"/>
              <w:spacing w:line="360" w:lineRule="auto"/>
              <w:rPr>
                <w:rFonts w:ascii="Calibri" w:hAnsi="Calibri"/>
                <w:sz w:val="20"/>
                <w:szCs w:val="20"/>
              </w:rPr>
            </w:pPr>
            <w:r>
              <w:rPr>
                <w:rFonts w:ascii="Calibri" w:hAnsi="Calibri"/>
                <w:sz w:val="20"/>
                <w:szCs w:val="20"/>
              </w:rPr>
              <w:t>- upublicznienie na stronie miasta adresu poczty elektronicznej pod którym można zgłaszać nadużycia finansowe</w:t>
            </w:r>
          </w:p>
          <w:p w14:paraId="7246F13B" w14:textId="77777777" w:rsidR="00B52E8A" w:rsidRDefault="00B52E8A" w:rsidP="008C6B8F">
            <w:pPr>
              <w:pStyle w:val="TableContents"/>
              <w:spacing w:line="360" w:lineRule="auto"/>
              <w:rPr>
                <w:rFonts w:ascii="Calibri" w:hAnsi="Calibri"/>
                <w:sz w:val="20"/>
                <w:szCs w:val="20"/>
              </w:rPr>
            </w:pPr>
            <w:r>
              <w:rPr>
                <w:rFonts w:ascii="Calibri" w:hAnsi="Calibri"/>
                <w:sz w:val="20"/>
                <w:szCs w:val="20"/>
              </w:rPr>
              <w:t>- bieżąca kontrola prac komisji przetargowej</w:t>
            </w:r>
          </w:p>
        </w:tc>
      </w:tr>
      <w:tr w:rsidR="00B52E8A" w14:paraId="5A053480" w14:textId="77777777" w:rsidTr="008C6B8F">
        <w:tblPrEx>
          <w:tblCellMar>
            <w:top w:w="0" w:type="dxa"/>
            <w:bottom w:w="0" w:type="dxa"/>
          </w:tblCellMar>
        </w:tblPrEx>
        <w:tc>
          <w:tcPr>
            <w:tcW w:w="749" w:type="dxa"/>
            <w:tcBorders>
              <w:left w:val="single" w:sz="2" w:space="0" w:color="000000"/>
              <w:bottom w:val="single" w:sz="2" w:space="0" w:color="000000"/>
            </w:tcBorders>
            <w:shd w:val="clear" w:color="auto" w:fill="auto"/>
            <w:tcMar>
              <w:top w:w="55" w:type="dxa"/>
              <w:left w:w="55" w:type="dxa"/>
              <w:bottom w:w="55" w:type="dxa"/>
              <w:right w:w="55" w:type="dxa"/>
            </w:tcMar>
          </w:tcPr>
          <w:p w14:paraId="16E106EF" w14:textId="77777777" w:rsidR="00B52E8A" w:rsidRDefault="00B52E8A" w:rsidP="008C6B8F">
            <w:pPr>
              <w:pStyle w:val="TableContents"/>
              <w:spacing w:line="360" w:lineRule="auto"/>
              <w:rPr>
                <w:rFonts w:ascii="Calibri" w:hAnsi="Calibri"/>
                <w:sz w:val="20"/>
                <w:szCs w:val="20"/>
              </w:rPr>
            </w:pPr>
            <w:r>
              <w:rPr>
                <w:rFonts w:ascii="Calibri" w:hAnsi="Calibri"/>
                <w:sz w:val="20"/>
                <w:szCs w:val="20"/>
              </w:rPr>
              <w:lastRenderedPageBreak/>
              <w:t>R6</w:t>
            </w:r>
          </w:p>
        </w:tc>
        <w:tc>
          <w:tcPr>
            <w:tcW w:w="1471" w:type="dxa"/>
            <w:tcBorders>
              <w:left w:val="single" w:sz="2" w:space="0" w:color="000000"/>
              <w:bottom w:val="single" w:sz="2" w:space="0" w:color="000000"/>
            </w:tcBorders>
            <w:shd w:val="clear" w:color="auto" w:fill="auto"/>
            <w:tcMar>
              <w:top w:w="55" w:type="dxa"/>
              <w:left w:w="55" w:type="dxa"/>
              <w:bottom w:w="55" w:type="dxa"/>
              <w:right w:w="55" w:type="dxa"/>
            </w:tcMar>
          </w:tcPr>
          <w:p w14:paraId="51D3CACD" w14:textId="77777777" w:rsidR="00B52E8A" w:rsidRDefault="00B52E8A" w:rsidP="008C6B8F">
            <w:pPr>
              <w:pStyle w:val="TableContents"/>
              <w:spacing w:line="360" w:lineRule="auto"/>
              <w:rPr>
                <w:rFonts w:ascii="Calibri" w:hAnsi="Calibri"/>
                <w:sz w:val="20"/>
                <w:szCs w:val="20"/>
              </w:rPr>
            </w:pPr>
            <w:r>
              <w:rPr>
                <w:rFonts w:ascii="Calibri" w:hAnsi="Calibri"/>
                <w:sz w:val="20"/>
                <w:szCs w:val="20"/>
              </w:rPr>
              <w:t>Unikanie wymaganej procedury konkurencyjnej</w:t>
            </w:r>
          </w:p>
        </w:tc>
        <w:tc>
          <w:tcPr>
            <w:tcW w:w="4214" w:type="dxa"/>
            <w:tcBorders>
              <w:left w:val="single" w:sz="2" w:space="0" w:color="000000"/>
              <w:bottom w:val="single" w:sz="2" w:space="0" w:color="000000"/>
            </w:tcBorders>
            <w:shd w:val="clear" w:color="auto" w:fill="auto"/>
            <w:tcMar>
              <w:top w:w="55" w:type="dxa"/>
              <w:left w:w="55" w:type="dxa"/>
              <w:bottom w:w="55" w:type="dxa"/>
              <w:right w:w="55" w:type="dxa"/>
            </w:tcMar>
          </w:tcPr>
          <w:p w14:paraId="4517FB5B" w14:textId="77777777" w:rsidR="00B52E8A" w:rsidRDefault="00B52E8A" w:rsidP="008C6B8F">
            <w:pPr>
              <w:pStyle w:val="TableContents"/>
              <w:spacing w:line="360" w:lineRule="auto"/>
              <w:rPr>
                <w:rFonts w:ascii="Calibri" w:hAnsi="Calibri"/>
                <w:sz w:val="20"/>
                <w:szCs w:val="20"/>
              </w:rPr>
            </w:pPr>
            <w:r>
              <w:rPr>
                <w:rFonts w:ascii="Calibri" w:hAnsi="Calibri"/>
                <w:sz w:val="20"/>
                <w:szCs w:val="20"/>
              </w:rPr>
              <w:t>1. Kierownik projektu może podzielić zamówienie na co najmniej dwa zlecenia do umowy, by uniknąć rozpoczynania procedury  konkurencyjnej</w:t>
            </w:r>
          </w:p>
          <w:p w14:paraId="4412A694" w14:textId="77777777" w:rsidR="00B52E8A" w:rsidRDefault="00B52E8A" w:rsidP="008C6B8F">
            <w:pPr>
              <w:pStyle w:val="TableContents"/>
              <w:spacing w:line="360" w:lineRule="auto"/>
              <w:rPr>
                <w:rFonts w:ascii="Calibri" w:hAnsi="Calibri"/>
                <w:sz w:val="20"/>
                <w:szCs w:val="20"/>
              </w:rPr>
            </w:pPr>
            <w:r>
              <w:rPr>
                <w:rFonts w:ascii="Calibri" w:hAnsi="Calibri"/>
                <w:sz w:val="20"/>
                <w:szCs w:val="20"/>
              </w:rPr>
              <w:t>2. Kierownik projektu może sfałszować uzasadnienie udzielenia zamówienia jednemu oferentowi, przygotowując bardzo zawężone specyfikacje</w:t>
            </w:r>
          </w:p>
          <w:p w14:paraId="1A8D5169" w14:textId="77777777" w:rsidR="00B52E8A" w:rsidRDefault="00B52E8A" w:rsidP="008C6B8F">
            <w:pPr>
              <w:pStyle w:val="TableContents"/>
              <w:spacing w:line="360" w:lineRule="auto"/>
              <w:rPr>
                <w:rFonts w:ascii="Calibri" w:hAnsi="Calibri"/>
                <w:sz w:val="20"/>
                <w:szCs w:val="20"/>
              </w:rPr>
            </w:pPr>
            <w:r>
              <w:rPr>
                <w:rFonts w:ascii="Calibri" w:hAnsi="Calibri"/>
                <w:sz w:val="20"/>
                <w:szCs w:val="20"/>
              </w:rPr>
              <w:t>3. Kierownik projektu może przyznać umowy faworyzowanym osobom trzecim bez wymaganej procedury przetargowej.</w:t>
            </w:r>
          </w:p>
          <w:p w14:paraId="3A78F439" w14:textId="77777777" w:rsidR="00B52E8A" w:rsidRDefault="00B52E8A" w:rsidP="008C6B8F">
            <w:pPr>
              <w:pStyle w:val="TableContents"/>
              <w:spacing w:line="360" w:lineRule="auto"/>
              <w:rPr>
                <w:rFonts w:ascii="Calibri" w:hAnsi="Calibri"/>
                <w:sz w:val="20"/>
                <w:szCs w:val="20"/>
              </w:rPr>
            </w:pPr>
            <w:r>
              <w:rPr>
                <w:rFonts w:ascii="Calibri" w:hAnsi="Calibri"/>
                <w:sz w:val="20"/>
                <w:szCs w:val="20"/>
              </w:rPr>
              <w:t>4. Kierownik projektu może przedłużyć pierwotny okres realizacji zamówienia poprzez wprowadzenie do umowy zmian lub stawianie dodatkowych warunków, w celu uniknięcia powtórnej procedury przetargowej</w:t>
            </w:r>
          </w:p>
        </w:tc>
        <w:tc>
          <w:tcPr>
            <w:tcW w:w="1126" w:type="dxa"/>
            <w:tcBorders>
              <w:left w:val="single" w:sz="2" w:space="0" w:color="000000"/>
              <w:bottom w:val="single" w:sz="2" w:space="0" w:color="000000"/>
            </w:tcBorders>
            <w:shd w:val="clear" w:color="auto" w:fill="auto"/>
            <w:tcMar>
              <w:top w:w="55" w:type="dxa"/>
              <w:left w:w="55" w:type="dxa"/>
              <w:bottom w:w="55" w:type="dxa"/>
              <w:right w:w="55" w:type="dxa"/>
            </w:tcMar>
          </w:tcPr>
          <w:p w14:paraId="4D3E08B2" w14:textId="77777777" w:rsidR="00B52E8A" w:rsidRDefault="00B52E8A" w:rsidP="008C6B8F">
            <w:pPr>
              <w:pStyle w:val="TableContents"/>
              <w:spacing w:line="360" w:lineRule="auto"/>
              <w:rPr>
                <w:rFonts w:ascii="Calibri" w:hAnsi="Calibri"/>
                <w:sz w:val="20"/>
                <w:szCs w:val="20"/>
              </w:rPr>
            </w:pPr>
            <w:r>
              <w:rPr>
                <w:rFonts w:ascii="Calibri" w:hAnsi="Calibri"/>
                <w:sz w:val="20"/>
                <w:szCs w:val="20"/>
              </w:rPr>
              <w:t>małe</w:t>
            </w:r>
          </w:p>
        </w:tc>
        <w:tc>
          <w:tcPr>
            <w:tcW w:w="20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FE07445" w14:textId="77777777" w:rsidR="00B52E8A" w:rsidRDefault="00B52E8A" w:rsidP="008C6B8F">
            <w:pPr>
              <w:pStyle w:val="TableContents"/>
              <w:spacing w:line="360" w:lineRule="auto"/>
              <w:rPr>
                <w:rFonts w:ascii="Calibri" w:hAnsi="Calibri"/>
                <w:sz w:val="20"/>
                <w:szCs w:val="20"/>
              </w:rPr>
            </w:pPr>
            <w:r>
              <w:rPr>
                <w:rFonts w:ascii="Calibri" w:hAnsi="Calibri"/>
                <w:sz w:val="20"/>
                <w:szCs w:val="20"/>
              </w:rPr>
              <w:t>- powołanie komisji przetargowej</w:t>
            </w:r>
          </w:p>
          <w:p w14:paraId="40D97294" w14:textId="77777777" w:rsidR="00B52E8A" w:rsidRDefault="00B52E8A" w:rsidP="008C6B8F">
            <w:pPr>
              <w:pStyle w:val="TableContents"/>
              <w:spacing w:line="360" w:lineRule="auto"/>
              <w:rPr>
                <w:rFonts w:ascii="Calibri" w:hAnsi="Calibri"/>
                <w:sz w:val="20"/>
                <w:szCs w:val="20"/>
              </w:rPr>
            </w:pPr>
            <w:r>
              <w:rPr>
                <w:rFonts w:ascii="Calibri" w:hAnsi="Calibri"/>
                <w:sz w:val="20"/>
                <w:szCs w:val="20"/>
              </w:rPr>
              <w:t>- nadzór nad pracami komisji przetargowej przez przełożonych</w:t>
            </w:r>
          </w:p>
          <w:p w14:paraId="710D66BD" w14:textId="77777777" w:rsidR="00B52E8A" w:rsidRDefault="00B52E8A" w:rsidP="008C6B8F">
            <w:pPr>
              <w:pStyle w:val="TableContents"/>
              <w:spacing w:line="360" w:lineRule="auto"/>
              <w:rPr>
                <w:rFonts w:ascii="Calibri" w:hAnsi="Calibri"/>
                <w:sz w:val="20"/>
                <w:szCs w:val="20"/>
              </w:rPr>
            </w:pPr>
            <w:r>
              <w:rPr>
                <w:rFonts w:ascii="Calibri" w:hAnsi="Calibri"/>
                <w:sz w:val="20"/>
                <w:szCs w:val="20"/>
              </w:rPr>
              <w:t>- stosowanie zasady konkurencyjności oraz zasady rozeznania rynku</w:t>
            </w:r>
          </w:p>
          <w:p w14:paraId="2A2B4BBC" w14:textId="77777777" w:rsidR="00B52E8A" w:rsidRDefault="00B52E8A" w:rsidP="008C6B8F">
            <w:pPr>
              <w:pStyle w:val="TableContents"/>
              <w:spacing w:line="360" w:lineRule="auto"/>
              <w:rPr>
                <w:rFonts w:ascii="Calibri" w:hAnsi="Calibri"/>
                <w:sz w:val="20"/>
                <w:szCs w:val="20"/>
              </w:rPr>
            </w:pPr>
          </w:p>
        </w:tc>
      </w:tr>
      <w:tr w:rsidR="00B52E8A" w14:paraId="5FE5FB1C" w14:textId="77777777" w:rsidTr="008C6B8F">
        <w:tblPrEx>
          <w:tblCellMar>
            <w:top w:w="0" w:type="dxa"/>
            <w:bottom w:w="0" w:type="dxa"/>
          </w:tblCellMar>
        </w:tblPrEx>
        <w:tc>
          <w:tcPr>
            <w:tcW w:w="749" w:type="dxa"/>
            <w:tcBorders>
              <w:left w:val="single" w:sz="2" w:space="0" w:color="000000"/>
              <w:bottom w:val="single" w:sz="2" w:space="0" w:color="000000"/>
            </w:tcBorders>
            <w:shd w:val="clear" w:color="auto" w:fill="auto"/>
            <w:tcMar>
              <w:top w:w="55" w:type="dxa"/>
              <w:left w:w="55" w:type="dxa"/>
              <w:bottom w:w="55" w:type="dxa"/>
              <w:right w:w="55" w:type="dxa"/>
            </w:tcMar>
          </w:tcPr>
          <w:p w14:paraId="14BBFE1A" w14:textId="77777777" w:rsidR="00B52E8A" w:rsidRDefault="00B52E8A" w:rsidP="008C6B8F">
            <w:pPr>
              <w:pStyle w:val="TableContents"/>
              <w:spacing w:line="360" w:lineRule="auto"/>
              <w:rPr>
                <w:rFonts w:ascii="Calibri" w:hAnsi="Calibri"/>
                <w:sz w:val="20"/>
                <w:szCs w:val="20"/>
              </w:rPr>
            </w:pPr>
            <w:r>
              <w:rPr>
                <w:rFonts w:ascii="Calibri" w:hAnsi="Calibri"/>
                <w:sz w:val="20"/>
                <w:szCs w:val="20"/>
              </w:rPr>
              <w:t>R7</w:t>
            </w:r>
          </w:p>
        </w:tc>
        <w:tc>
          <w:tcPr>
            <w:tcW w:w="1471" w:type="dxa"/>
            <w:tcBorders>
              <w:left w:val="single" w:sz="2" w:space="0" w:color="000000"/>
              <w:bottom w:val="single" w:sz="2" w:space="0" w:color="000000"/>
            </w:tcBorders>
            <w:shd w:val="clear" w:color="auto" w:fill="auto"/>
            <w:tcMar>
              <w:top w:w="55" w:type="dxa"/>
              <w:left w:w="55" w:type="dxa"/>
              <w:bottom w:w="55" w:type="dxa"/>
              <w:right w:w="55" w:type="dxa"/>
            </w:tcMar>
          </w:tcPr>
          <w:p w14:paraId="0B0FD8A1" w14:textId="77777777" w:rsidR="00B52E8A" w:rsidRDefault="00B52E8A" w:rsidP="008C6B8F">
            <w:pPr>
              <w:pStyle w:val="TableContents"/>
              <w:spacing w:line="360" w:lineRule="auto"/>
              <w:rPr>
                <w:rFonts w:ascii="Calibri" w:hAnsi="Calibri"/>
                <w:sz w:val="20"/>
                <w:szCs w:val="20"/>
              </w:rPr>
            </w:pPr>
            <w:r>
              <w:rPr>
                <w:rFonts w:ascii="Calibri" w:hAnsi="Calibri"/>
                <w:sz w:val="20"/>
                <w:szCs w:val="20"/>
              </w:rPr>
              <w:t>Wykorzystanie środków finansowych na cele niezgodne z zadaniami określonymi w projekcie</w:t>
            </w:r>
          </w:p>
        </w:tc>
        <w:tc>
          <w:tcPr>
            <w:tcW w:w="4214" w:type="dxa"/>
            <w:tcBorders>
              <w:left w:val="single" w:sz="2" w:space="0" w:color="000000"/>
              <w:bottom w:val="single" w:sz="2" w:space="0" w:color="000000"/>
            </w:tcBorders>
            <w:shd w:val="clear" w:color="auto" w:fill="auto"/>
            <w:tcMar>
              <w:top w:w="55" w:type="dxa"/>
              <w:left w:w="55" w:type="dxa"/>
              <w:bottom w:w="55" w:type="dxa"/>
              <w:right w:w="55" w:type="dxa"/>
            </w:tcMar>
          </w:tcPr>
          <w:p w14:paraId="79F66044" w14:textId="77777777" w:rsidR="00B52E8A" w:rsidRDefault="00B52E8A" w:rsidP="008C6B8F">
            <w:pPr>
              <w:pStyle w:val="TableContents"/>
              <w:spacing w:line="360" w:lineRule="auto"/>
              <w:rPr>
                <w:rFonts w:ascii="Calibri" w:hAnsi="Calibri"/>
                <w:sz w:val="20"/>
                <w:szCs w:val="20"/>
              </w:rPr>
            </w:pPr>
            <w:r>
              <w:rPr>
                <w:rFonts w:ascii="Calibri" w:hAnsi="Calibri"/>
                <w:sz w:val="20"/>
                <w:szCs w:val="20"/>
              </w:rPr>
              <w:t>Zakup usług, dostaw i urządzeń innych niż określone w projekcie w celu otrzymania korzyści finansowej</w:t>
            </w:r>
          </w:p>
        </w:tc>
        <w:tc>
          <w:tcPr>
            <w:tcW w:w="1126" w:type="dxa"/>
            <w:tcBorders>
              <w:left w:val="single" w:sz="2" w:space="0" w:color="000000"/>
              <w:bottom w:val="single" w:sz="2" w:space="0" w:color="000000"/>
            </w:tcBorders>
            <w:shd w:val="clear" w:color="auto" w:fill="auto"/>
            <w:tcMar>
              <w:top w:w="55" w:type="dxa"/>
              <w:left w:w="55" w:type="dxa"/>
              <w:bottom w:w="55" w:type="dxa"/>
              <w:right w:w="55" w:type="dxa"/>
            </w:tcMar>
          </w:tcPr>
          <w:p w14:paraId="7BD8115A" w14:textId="77777777" w:rsidR="00B52E8A" w:rsidRDefault="00B52E8A" w:rsidP="008C6B8F">
            <w:pPr>
              <w:pStyle w:val="TableContents"/>
              <w:spacing w:line="360" w:lineRule="auto"/>
              <w:rPr>
                <w:rFonts w:ascii="Calibri" w:hAnsi="Calibri"/>
                <w:sz w:val="20"/>
                <w:szCs w:val="20"/>
              </w:rPr>
            </w:pPr>
            <w:r>
              <w:rPr>
                <w:rFonts w:ascii="Calibri" w:hAnsi="Calibri"/>
                <w:sz w:val="20"/>
                <w:szCs w:val="20"/>
              </w:rPr>
              <w:t>małe</w:t>
            </w:r>
          </w:p>
        </w:tc>
        <w:tc>
          <w:tcPr>
            <w:tcW w:w="20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B1EA541" w14:textId="77777777" w:rsidR="00B52E8A" w:rsidRDefault="00B52E8A" w:rsidP="008C6B8F">
            <w:pPr>
              <w:pStyle w:val="TableContents"/>
              <w:spacing w:line="360" w:lineRule="auto"/>
              <w:rPr>
                <w:rFonts w:ascii="Calibri" w:hAnsi="Calibri"/>
                <w:sz w:val="20"/>
                <w:szCs w:val="20"/>
              </w:rPr>
            </w:pPr>
            <w:r>
              <w:rPr>
                <w:rFonts w:ascii="Calibri" w:hAnsi="Calibri"/>
                <w:sz w:val="20"/>
                <w:szCs w:val="20"/>
              </w:rPr>
              <w:t>- bieżąca kontrola realizacji projektu</w:t>
            </w:r>
          </w:p>
          <w:p w14:paraId="51B67652" w14:textId="77777777" w:rsidR="00B52E8A" w:rsidRDefault="00B52E8A" w:rsidP="008C6B8F">
            <w:pPr>
              <w:pStyle w:val="TableContents"/>
              <w:spacing w:line="360" w:lineRule="auto"/>
              <w:rPr>
                <w:rFonts w:ascii="Calibri" w:hAnsi="Calibri"/>
                <w:sz w:val="20"/>
                <w:szCs w:val="20"/>
              </w:rPr>
            </w:pPr>
            <w:r>
              <w:rPr>
                <w:rFonts w:ascii="Calibri" w:hAnsi="Calibri"/>
                <w:sz w:val="20"/>
                <w:szCs w:val="20"/>
              </w:rPr>
              <w:t>- sprawdzanie zasadności zamówień przez kierownika projektu wraz z członkami komisji przetargowej oraz członków JRP</w:t>
            </w:r>
          </w:p>
        </w:tc>
      </w:tr>
    </w:tbl>
    <w:p w14:paraId="14DF3A6A" w14:textId="77777777" w:rsidR="00B52E8A" w:rsidRDefault="00B52E8A" w:rsidP="00B52E8A">
      <w:pPr>
        <w:pStyle w:val="Standard"/>
        <w:spacing w:line="360" w:lineRule="auto"/>
        <w:rPr>
          <w:rFonts w:ascii="Calibri" w:hAnsi="Calibri"/>
        </w:rPr>
      </w:pPr>
    </w:p>
    <w:p w14:paraId="7C870E49" w14:textId="77777777" w:rsidR="00B52E8A" w:rsidRPr="00CB5512" w:rsidRDefault="00B52E8A" w:rsidP="00D634D6">
      <w:pPr>
        <w:spacing w:line="360" w:lineRule="auto"/>
        <w:jc w:val="both"/>
        <w:rPr>
          <w:b/>
          <w:bCs/>
          <w:sz w:val="24"/>
          <w:szCs w:val="24"/>
        </w:rPr>
      </w:pPr>
      <w:bookmarkStart w:id="0" w:name="_GoBack"/>
      <w:bookmarkEnd w:id="0"/>
    </w:p>
    <w:sectPr w:rsidR="00B52E8A" w:rsidRPr="00CB551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655F10" w14:textId="77777777" w:rsidR="0033497A" w:rsidRDefault="0033497A" w:rsidP="005E3A8F">
      <w:pPr>
        <w:spacing w:after="0" w:line="240" w:lineRule="auto"/>
      </w:pPr>
      <w:r>
        <w:separator/>
      </w:r>
    </w:p>
  </w:endnote>
  <w:endnote w:type="continuationSeparator" w:id="0">
    <w:p w14:paraId="229FCD93" w14:textId="77777777" w:rsidR="0033497A" w:rsidRDefault="0033497A" w:rsidP="005E3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5450268"/>
      <w:docPartObj>
        <w:docPartGallery w:val="Page Numbers (Bottom of Page)"/>
        <w:docPartUnique/>
      </w:docPartObj>
    </w:sdtPr>
    <w:sdtEndPr/>
    <w:sdtContent>
      <w:p w14:paraId="376A4C30" w14:textId="1BAA1F6F" w:rsidR="00BD0892" w:rsidRDefault="00BD0892">
        <w:pPr>
          <w:pStyle w:val="Stopka"/>
          <w:jc w:val="center"/>
        </w:pPr>
        <w:r>
          <w:fldChar w:fldCharType="begin"/>
        </w:r>
        <w:r>
          <w:instrText>PAGE   \* MERGEFORMAT</w:instrText>
        </w:r>
        <w:r>
          <w:fldChar w:fldCharType="separate"/>
        </w:r>
        <w:r w:rsidR="00B52E8A">
          <w:rPr>
            <w:noProof/>
          </w:rPr>
          <w:t>19</w:t>
        </w:r>
        <w:r>
          <w:fldChar w:fldCharType="end"/>
        </w:r>
      </w:p>
    </w:sdtContent>
  </w:sdt>
  <w:p w14:paraId="6F04B5E4" w14:textId="77777777" w:rsidR="00BD0892" w:rsidRDefault="00BD089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E4A03" w14:textId="77777777" w:rsidR="0033497A" w:rsidRDefault="0033497A" w:rsidP="005E3A8F">
      <w:pPr>
        <w:spacing w:after="0" w:line="240" w:lineRule="auto"/>
      </w:pPr>
      <w:r>
        <w:separator/>
      </w:r>
    </w:p>
  </w:footnote>
  <w:footnote w:type="continuationSeparator" w:id="0">
    <w:p w14:paraId="484329BE" w14:textId="77777777" w:rsidR="0033497A" w:rsidRDefault="0033497A" w:rsidP="005E3A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C6D75" w14:textId="33008E8B" w:rsidR="005E3A8F" w:rsidRDefault="005E3A8F">
    <w:pPr>
      <w:pStyle w:val="Nagwek"/>
    </w:pPr>
    <w:r>
      <w:rPr>
        <w:noProof/>
        <w:lang w:eastAsia="pl-PL"/>
      </w:rPr>
      <w:drawing>
        <wp:inline distT="0" distB="0" distL="0" distR="0" wp14:anchorId="77FC328C" wp14:editId="01EF4CCE">
          <wp:extent cx="5760720" cy="851535"/>
          <wp:effectExtent l="0" t="0" r="0" b="5715"/>
          <wp:docPr id="1" name="Obraz 2" descr="C:\Users\user\AppData\Local\Temp\FE_POIS_poziom_pl.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760720" cy="851535"/>
                  </a:xfrm>
                  <a:prstGeom prst="rect">
                    <a:avLst/>
                  </a:prstGeom>
                  <a:noFill/>
                  <a:ln>
                    <a:noFill/>
                    <a:prstDash/>
                  </a:ln>
                </pic:spPr>
              </pic:pic>
            </a:graphicData>
          </a:graphic>
        </wp:inline>
      </w:drawing>
    </w:r>
  </w:p>
  <w:p w14:paraId="248D16B9" w14:textId="77777777" w:rsidR="005E3A8F" w:rsidRDefault="005E3A8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4597F"/>
    <w:multiLevelType w:val="hybridMultilevel"/>
    <w:tmpl w:val="46B862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31D79AF"/>
    <w:multiLevelType w:val="hybridMultilevel"/>
    <w:tmpl w:val="E4B233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63934B1"/>
    <w:multiLevelType w:val="hybridMultilevel"/>
    <w:tmpl w:val="36EC49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6A57788"/>
    <w:multiLevelType w:val="multilevel"/>
    <w:tmpl w:val="9B0CB6E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742689A"/>
    <w:multiLevelType w:val="hybridMultilevel"/>
    <w:tmpl w:val="2FFC2E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80A6166"/>
    <w:multiLevelType w:val="hybridMultilevel"/>
    <w:tmpl w:val="7EF03E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9993D1D"/>
    <w:multiLevelType w:val="hybridMultilevel"/>
    <w:tmpl w:val="A5C63C66"/>
    <w:lvl w:ilvl="0" w:tplc="04150001">
      <w:start w:val="1"/>
      <w:numFmt w:val="bullet"/>
      <w:lvlText w:val=""/>
      <w:lvlJc w:val="left"/>
      <w:pPr>
        <w:ind w:left="2070" w:hanging="360"/>
      </w:pPr>
      <w:rPr>
        <w:rFonts w:ascii="Symbol" w:hAnsi="Symbol" w:hint="default"/>
      </w:rPr>
    </w:lvl>
    <w:lvl w:ilvl="1" w:tplc="04150003" w:tentative="1">
      <w:start w:val="1"/>
      <w:numFmt w:val="bullet"/>
      <w:lvlText w:val="o"/>
      <w:lvlJc w:val="left"/>
      <w:pPr>
        <w:ind w:left="2790" w:hanging="360"/>
      </w:pPr>
      <w:rPr>
        <w:rFonts w:ascii="Courier New" w:hAnsi="Courier New" w:cs="Courier New" w:hint="default"/>
      </w:rPr>
    </w:lvl>
    <w:lvl w:ilvl="2" w:tplc="04150005" w:tentative="1">
      <w:start w:val="1"/>
      <w:numFmt w:val="bullet"/>
      <w:lvlText w:val=""/>
      <w:lvlJc w:val="left"/>
      <w:pPr>
        <w:ind w:left="3510" w:hanging="360"/>
      </w:pPr>
      <w:rPr>
        <w:rFonts w:ascii="Wingdings" w:hAnsi="Wingdings" w:hint="default"/>
      </w:rPr>
    </w:lvl>
    <w:lvl w:ilvl="3" w:tplc="04150001" w:tentative="1">
      <w:start w:val="1"/>
      <w:numFmt w:val="bullet"/>
      <w:lvlText w:val=""/>
      <w:lvlJc w:val="left"/>
      <w:pPr>
        <w:ind w:left="4230" w:hanging="360"/>
      </w:pPr>
      <w:rPr>
        <w:rFonts w:ascii="Symbol" w:hAnsi="Symbol" w:hint="default"/>
      </w:rPr>
    </w:lvl>
    <w:lvl w:ilvl="4" w:tplc="04150003" w:tentative="1">
      <w:start w:val="1"/>
      <w:numFmt w:val="bullet"/>
      <w:lvlText w:val="o"/>
      <w:lvlJc w:val="left"/>
      <w:pPr>
        <w:ind w:left="4950" w:hanging="360"/>
      </w:pPr>
      <w:rPr>
        <w:rFonts w:ascii="Courier New" w:hAnsi="Courier New" w:cs="Courier New" w:hint="default"/>
      </w:rPr>
    </w:lvl>
    <w:lvl w:ilvl="5" w:tplc="04150005" w:tentative="1">
      <w:start w:val="1"/>
      <w:numFmt w:val="bullet"/>
      <w:lvlText w:val=""/>
      <w:lvlJc w:val="left"/>
      <w:pPr>
        <w:ind w:left="5670" w:hanging="360"/>
      </w:pPr>
      <w:rPr>
        <w:rFonts w:ascii="Wingdings" w:hAnsi="Wingdings" w:hint="default"/>
      </w:rPr>
    </w:lvl>
    <w:lvl w:ilvl="6" w:tplc="04150001" w:tentative="1">
      <w:start w:val="1"/>
      <w:numFmt w:val="bullet"/>
      <w:lvlText w:val=""/>
      <w:lvlJc w:val="left"/>
      <w:pPr>
        <w:ind w:left="6390" w:hanging="360"/>
      </w:pPr>
      <w:rPr>
        <w:rFonts w:ascii="Symbol" w:hAnsi="Symbol" w:hint="default"/>
      </w:rPr>
    </w:lvl>
    <w:lvl w:ilvl="7" w:tplc="04150003" w:tentative="1">
      <w:start w:val="1"/>
      <w:numFmt w:val="bullet"/>
      <w:lvlText w:val="o"/>
      <w:lvlJc w:val="left"/>
      <w:pPr>
        <w:ind w:left="7110" w:hanging="360"/>
      </w:pPr>
      <w:rPr>
        <w:rFonts w:ascii="Courier New" w:hAnsi="Courier New" w:cs="Courier New" w:hint="default"/>
      </w:rPr>
    </w:lvl>
    <w:lvl w:ilvl="8" w:tplc="04150005" w:tentative="1">
      <w:start w:val="1"/>
      <w:numFmt w:val="bullet"/>
      <w:lvlText w:val=""/>
      <w:lvlJc w:val="left"/>
      <w:pPr>
        <w:ind w:left="7830" w:hanging="360"/>
      </w:pPr>
      <w:rPr>
        <w:rFonts w:ascii="Wingdings" w:hAnsi="Wingdings" w:hint="default"/>
      </w:rPr>
    </w:lvl>
  </w:abstractNum>
  <w:abstractNum w:abstractNumId="7" w15:restartNumberingAfterBreak="0">
    <w:nsid w:val="24A03FF0"/>
    <w:multiLevelType w:val="multilevel"/>
    <w:tmpl w:val="42644F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4FF00A4"/>
    <w:multiLevelType w:val="hybridMultilevel"/>
    <w:tmpl w:val="65FE3E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56C5306"/>
    <w:multiLevelType w:val="hybridMultilevel"/>
    <w:tmpl w:val="E8C8BE60"/>
    <w:lvl w:ilvl="0" w:tplc="A8044B2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B36825"/>
    <w:multiLevelType w:val="hybridMultilevel"/>
    <w:tmpl w:val="3788AF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7AB041E"/>
    <w:multiLevelType w:val="hybridMultilevel"/>
    <w:tmpl w:val="2D94D87A"/>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DCE05CF"/>
    <w:multiLevelType w:val="hybridMultilevel"/>
    <w:tmpl w:val="037AAC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1E96EC7"/>
    <w:multiLevelType w:val="hybridMultilevel"/>
    <w:tmpl w:val="B68EF2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D006F03"/>
    <w:multiLevelType w:val="hybridMultilevel"/>
    <w:tmpl w:val="4FDE7280"/>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0BD49D8"/>
    <w:multiLevelType w:val="hybridMultilevel"/>
    <w:tmpl w:val="4C9C64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CB61907"/>
    <w:multiLevelType w:val="hybridMultilevel"/>
    <w:tmpl w:val="C366ADFA"/>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24E5462"/>
    <w:multiLevelType w:val="hybridMultilevel"/>
    <w:tmpl w:val="F3FA4D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BB61D06"/>
    <w:multiLevelType w:val="hybridMultilevel"/>
    <w:tmpl w:val="3A5670E4"/>
    <w:lvl w:ilvl="0" w:tplc="04150019">
      <w:start w:val="1"/>
      <w:numFmt w:val="lowerLetter"/>
      <w:lvlText w:val="%1."/>
      <w:lvlJc w:val="left"/>
      <w:pPr>
        <w:ind w:left="644" w:hanging="360"/>
      </w:pPr>
      <w:rPr>
        <w:rFont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9" w15:restartNumberingAfterBreak="0">
    <w:nsid w:val="5C591DBA"/>
    <w:multiLevelType w:val="hybridMultilevel"/>
    <w:tmpl w:val="34D2B8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CD65181"/>
    <w:multiLevelType w:val="hybridMultilevel"/>
    <w:tmpl w:val="35C8A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A5E7382"/>
    <w:multiLevelType w:val="hybridMultilevel"/>
    <w:tmpl w:val="D384FB4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C72302B"/>
    <w:multiLevelType w:val="hybridMultilevel"/>
    <w:tmpl w:val="3EEC3E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0F125D8"/>
    <w:multiLevelType w:val="hybridMultilevel"/>
    <w:tmpl w:val="338005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22A013A"/>
    <w:multiLevelType w:val="hybridMultilevel"/>
    <w:tmpl w:val="A6464E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EEF5887"/>
    <w:multiLevelType w:val="hybridMultilevel"/>
    <w:tmpl w:val="082A79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12"/>
  </w:num>
  <w:num w:numId="5">
    <w:abstractNumId w:val="20"/>
  </w:num>
  <w:num w:numId="6">
    <w:abstractNumId w:val="5"/>
  </w:num>
  <w:num w:numId="7">
    <w:abstractNumId w:val="4"/>
  </w:num>
  <w:num w:numId="8">
    <w:abstractNumId w:val="17"/>
  </w:num>
  <w:num w:numId="9">
    <w:abstractNumId w:val="8"/>
  </w:num>
  <w:num w:numId="10">
    <w:abstractNumId w:val="13"/>
  </w:num>
  <w:num w:numId="11">
    <w:abstractNumId w:val="25"/>
  </w:num>
  <w:num w:numId="12">
    <w:abstractNumId w:val="6"/>
  </w:num>
  <w:num w:numId="13">
    <w:abstractNumId w:val="0"/>
  </w:num>
  <w:num w:numId="14">
    <w:abstractNumId w:val="15"/>
  </w:num>
  <w:num w:numId="15">
    <w:abstractNumId w:val="10"/>
  </w:num>
  <w:num w:numId="16">
    <w:abstractNumId w:val="24"/>
  </w:num>
  <w:num w:numId="17">
    <w:abstractNumId w:val="21"/>
  </w:num>
  <w:num w:numId="18">
    <w:abstractNumId w:val="9"/>
  </w:num>
  <w:num w:numId="19">
    <w:abstractNumId w:val="18"/>
  </w:num>
  <w:num w:numId="20">
    <w:abstractNumId w:val="11"/>
  </w:num>
  <w:num w:numId="21">
    <w:abstractNumId w:val="16"/>
  </w:num>
  <w:num w:numId="22">
    <w:abstractNumId w:val="14"/>
  </w:num>
  <w:num w:numId="23">
    <w:abstractNumId w:val="23"/>
  </w:num>
  <w:num w:numId="24">
    <w:abstractNumId w:val="19"/>
  </w:num>
  <w:num w:numId="25">
    <w:abstractNumId w:val="22"/>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CE1"/>
    <w:rsid w:val="000007A7"/>
    <w:rsid w:val="00014B0C"/>
    <w:rsid w:val="00036F58"/>
    <w:rsid w:val="00063314"/>
    <w:rsid w:val="00080227"/>
    <w:rsid w:val="000B07B2"/>
    <w:rsid w:val="000C5434"/>
    <w:rsid w:val="00162D7B"/>
    <w:rsid w:val="001A09F9"/>
    <w:rsid w:val="001A0E83"/>
    <w:rsid w:val="001B7936"/>
    <w:rsid w:val="001E72B0"/>
    <w:rsid w:val="001F38D9"/>
    <w:rsid w:val="002145E4"/>
    <w:rsid w:val="00245194"/>
    <w:rsid w:val="00274AF4"/>
    <w:rsid w:val="0028490C"/>
    <w:rsid w:val="002947A9"/>
    <w:rsid w:val="002B664D"/>
    <w:rsid w:val="002E4DE4"/>
    <w:rsid w:val="0033497A"/>
    <w:rsid w:val="00363855"/>
    <w:rsid w:val="00377B55"/>
    <w:rsid w:val="003A295F"/>
    <w:rsid w:val="003D319C"/>
    <w:rsid w:val="004029E5"/>
    <w:rsid w:val="004205C9"/>
    <w:rsid w:val="004433AB"/>
    <w:rsid w:val="004B5966"/>
    <w:rsid w:val="004D6B26"/>
    <w:rsid w:val="004E674C"/>
    <w:rsid w:val="004F2986"/>
    <w:rsid w:val="00521184"/>
    <w:rsid w:val="005239F6"/>
    <w:rsid w:val="0054164A"/>
    <w:rsid w:val="0058223C"/>
    <w:rsid w:val="00586378"/>
    <w:rsid w:val="005A1970"/>
    <w:rsid w:val="005D14D3"/>
    <w:rsid w:val="005E3A8F"/>
    <w:rsid w:val="00667534"/>
    <w:rsid w:val="00676CEE"/>
    <w:rsid w:val="00706200"/>
    <w:rsid w:val="00761CCA"/>
    <w:rsid w:val="00767815"/>
    <w:rsid w:val="008520F3"/>
    <w:rsid w:val="00852AA5"/>
    <w:rsid w:val="00870839"/>
    <w:rsid w:val="00874B5F"/>
    <w:rsid w:val="0089069C"/>
    <w:rsid w:val="008A18D5"/>
    <w:rsid w:val="008A72AA"/>
    <w:rsid w:val="008F723B"/>
    <w:rsid w:val="0091055A"/>
    <w:rsid w:val="009C4752"/>
    <w:rsid w:val="00A11848"/>
    <w:rsid w:val="00A31203"/>
    <w:rsid w:val="00A448C8"/>
    <w:rsid w:val="00AC7E52"/>
    <w:rsid w:val="00AF2B99"/>
    <w:rsid w:val="00B126F7"/>
    <w:rsid w:val="00B17473"/>
    <w:rsid w:val="00B336F1"/>
    <w:rsid w:val="00B33D81"/>
    <w:rsid w:val="00B52E8A"/>
    <w:rsid w:val="00B728F9"/>
    <w:rsid w:val="00BD0892"/>
    <w:rsid w:val="00C01E49"/>
    <w:rsid w:val="00CA7864"/>
    <w:rsid w:val="00CB5512"/>
    <w:rsid w:val="00D003B9"/>
    <w:rsid w:val="00D01C3D"/>
    <w:rsid w:val="00D01F7B"/>
    <w:rsid w:val="00D1141F"/>
    <w:rsid w:val="00D12B3F"/>
    <w:rsid w:val="00D52F56"/>
    <w:rsid w:val="00D634D6"/>
    <w:rsid w:val="00D77D5E"/>
    <w:rsid w:val="00D93E8C"/>
    <w:rsid w:val="00DB4DAA"/>
    <w:rsid w:val="00DC2844"/>
    <w:rsid w:val="00E41290"/>
    <w:rsid w:val="00E50E08"/>
    <w:rsid w:val="00E84252"/>
    <w:rsid w:val="00F00C47"/>
    <w:rsid w:val="00F70A5E"/>
    <w:rsid w:val="00F97CE1"/>
    <w:rsid w:val="00FC610A"/>
    <w:rsid w:val="00FD5D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48274"/>
  <w15:chartTrackingRefBased/>
  <w15:docId w15:val="{A68C9DBF-C0C1-4A34-9FDE-934BCB3BE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97CE1"/>
    <w:pPr>
      <w:ind w:left="720"/>
      <w:contextualSpacing/>
    </w:pPr>
  </w:style>
  <w:style w:type="character" w:styleId="Hipercze">
    <w:name w:val="Hyperlink"/>
    <w:basedOn w:val="Domylnaczcionkaakapitu"/>
    <w:uiPriority w:val="99"/>
    <w:unhideWhenUsed/>
    <w:rsid w:val="004F2986"/>
    <w:rPr>
      <w:color w:val="0563C1" w:themeColor="hyperlink"/>
      <w:u w:val="single"/>
    </w:rPr>
  </w:style>
  <w:style w:type="character" w:customStyle="1" w:styleId="Nierozpoznanawzmianka1">
    <w:name w:val="Nierozpoznana wzmianka1"/>
    <w:basedOn w:val="Domylnaczcionkaakapitu"/>
    <w:uiPriority w:val="99"/>
    <w:semiHidden/>
    <w:unhideWhenUsed/>
    <w:rsid w:val="004F2986"/>
    <w:rPr>
      <w:color w:val="605E5C"/>
      <w:shd w:val="clear" w:color="auto" w:fill="E1DFDD"/>
    </w:rPr>
  </w:style>
  <w:style w:type="character" w:styleId="Odwoaniedokomentarza">
    <w:name w:val="annotation reference"/>
    <w:basedOn w:val="Domylnaczcionkaakapitu"/>
    <w:uiPriority w:val="99"/>
    <w:semiHidden/>
    <w:unhideWhenUsed/>
    <w:rsid w:val="00B126F7"/>
    <w:rPr>
      <w:sz w:val="16"/>
      <w:szCs w:val="16"/>
    </w:rPr>
  </w:style>
  <w:style w:type="paragraph" w:styleId="Tekstkomentarza">
    <w:name w:val="annotation text"/>
    <w:basedOn w:val="Normalny"/>
    <w:link w:val="TekstkomentarzaZnak"/>
    <w:uiPriority w:val="99"/>
    <w:semiHidden/>
    <w:unhideWhenUsed/>
    <w:rsid w:val="00B126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126F7"/>
    <w:rPr>
      <w:sz w:val="20"/>
      <w:szCs w:val="20"/>
    </w:rPr>
  </w:style>
  <w:style w:type="paragraph" w:styleId="Tematkomentarza">
    <w:name w:val="annotation subject"/>
    <w:basedOn w:val="Tekstkomentarza"/>
    <w:next w:val="Tekstkomentarza"/>
    <w:link w:val="TematkomentarzaZnak"/>
    <w:uiPriority w:val="99"/>
    <w:semiHidden/>
    <w:unhideWhenUsed/>
    <w:rsid w:val="00B126F7"/>
    <w:rPr>
      <w:b/>
      <w:bCs/>
    </w:rPr>
  </w:style>
  <w:style w:type="character" w:customStyle="1" w:styleId="TematkomentarzaZnak">
    <w:name w:val="Temat komentarza Znak"/>
    <w:basedOn w:val="TekstkomentarzaZnak"/>
    <w:link w:val="Tematkomentarza"/>
    <w:uiPriority w:val="99"/>
    <w:semiHidden/>
    <w:rsid w:val="00B126F7"/>
    <w:rPr>
      <w:b/>
      <w:bCs/>
      <w:sz w:val="20"/>
      <w:szCs w:val="20"/>
    </w:rPr>
  </w:style>
  <w:style w:type="paragraph" w:styleId="Nagwek">
    <w:name w:val="header"/>
    <w:basedOn w:val="Normalny"/>
    <w:link w:val="NagwekZnak"/>
    <w:uiPriority w:val="99"/>
    <w:unhideWhenUsed/>
    <w:rsid w:val="005E3A8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3A8F"/>
  </w:style>
  <w:style w:type="paragraph" w:styleId="Stopka">
    <w:name w:val="footer"/>
    <w:basedOn w:val="Normalny"/>
    <w:link w:val="StopkaZnak"/>
    <w:uiPriority w:val="99"/>
    <w:unhideWhenUsed/>
    <w:rsid w:val="005E3A8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3A8F"/>
  </w:style>
  <w:style w:type="paragraph" w:styleId="Tekstdymka">
    <w:name w:val="Balloon Text"/>
    <w:basedOn w:val="Normalny"/>
    <w:link w:val="TekstdymkaZnak"/>
    <w:uiPriority w:val="99"/>
    <w:semiHidden/>
    <w:unhideWhenUsed/>
    <w:rsid w:val="00874B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74B5F"/>
    <w:rPr>
      <w:rFonts w:ascii="Segoe UI" w:hAnsi="Segoe UI" w:cs="Segoe UI"/>
      <w:sz w:val="18"/>
      <w:szCs w:val="18"/>
    </w:rPr>
  </w:style>
  <w:style w:type="character" w:customStyle="1" w:styleId="text-justify">
    <w:name w:val="text-justify"/>
    <w:basedOn w:val="Domylnaczcionkaakapitu"/>
    <w:rsid w:val="00521184"/>
  </w:style>
  <w:style w:type="paragraph" w:customStyle="1" w:styleId="Standard">
    <w:name w:val="Standard"/>
    <w:rsid w:val="00B52E8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B52E8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74583">
      <w:bodyDiv w:val="1"/>
      <w:marLeft w:val="0"/>
      <w:marRight w:val="0"/>
      <w:marTop w:val="0"/>
      <w:marBottom w:val="0"/>
      <w:divBdr>
        <w:top w:val="none" w:sz="0" w:space="0" w:color="auto"/>
        <w:left w:val="none" w:sz="0" w:space="0" w:color="auto"/>
        <w:bottom w:val="none" w:sz="0" w:space="0" w:color="auto"/>
        <w:right w:val="none" w:sz="0" w:space="0" w:color="auto"/>
      </w:divBdr>
      <w:divsChild>
        <w:div w:id="1548839026">
          <w:marLeft w:val="0"/>
          <w:marRight w:val="0"/>
          <w:marTop w:val="0"/>
          <w:marBottom w:val="0"/>
          <w:divBdr>
            <w:top w:val="none" w:sz="0" w:space="0" w:color="auto"/>
            <w:left w:val="none" w:sz="0" w:space="0" w:color="auto"/>
            <w:bottom w:val="none" w:sz="0" w:space="0" w:color="auto"/>
            <w:right w:val="none" w:sz="0" w:space="0" w:color="auto"/>
          </w:divBdr>
        </w:div>
      </w:divsChild>
    </w:div>
    <w:div w:id="318925468">
      <w:bodyDiv w:val="1"/>
      <w:marLeft w:val="0"/>
      <w:marRight w:val="0"/>
      <w:marTop w:val="0"/>
      <w:marBottom w:val="0"/>
      <w:divBdr>
        <w:top w:val="none" w:sz="0" w:space="0" w:color="auto"/>
        <w:left w:val="none" w:sz="0" w:space="0" w:color="auto"/>
        <w:bottom w:val="none" w:sz="0" w:space="0" w:color="auto"/>
        <w:right w:val="none" w:sz="0" w:space="0" w:color="auto"/>
      </w:divBdr>
      <w:divsChild>
        <w:div w:id="176162106">
          <w:marLeft w:val="0"/>
          <w:marRight w:val="0"/>
          <w:marTop w:val="0"/>
          <w:marBottom w:val="0"/>
          <w:divBdr>
            <w:top w:val="none" w:sz="0" w:space="0" w:color="auto"/>
            <w:left w:val="none" w:sz="0" w:space="0" w:color="auto"/>
            <w:bottom w:val="none" w:sz="0" w:space="0" w:color="auto"/>
            <w:right w:val="none" w:sz="0" w:space="0" w:color="auto"/>
          </w:divBdr>
        </w:div>
      </w:divsChild>
    </w:div>
    <w:div w:id="342635827">
      <w:bodyDiv w:val="1"/>
      <w:marLeft w:val="0"/>
      <w:marRight w:val="0"/>
      <w:marTop w:val="0"/>
      <w:marBottom w:val="0"/>
      <w:divBdr>
        <w:top w:val="none" w:sz="0" w:space="0" w:color="auto"/>
        <w:left w:val="none" w:sz="0" w:space="0" w:color="auto"/>
        <w:bottom w:val="none" w:sz="0" w:space="0" w:color="auto"/>
        <w:right w:val="none" w:sz="0" w:space="0" w:color="auto"/>
      </w:divBdr>
      <w:divsChild>
        <w:div w:id="799879395">
          <w:marLeft w:val="0"/>
          <w:marRight w:val="0"/>
          <w:marTop w:val="0"/>
          <w:marBottom w:val="0"/>
          <w:divBdr>
            <w:top w:val="none" w:sz="0" w:space="0" w:color="auto"/>
            <w:left w:val="none" w:sz="0" w:space="0" w:color="auto"/>
            <w:bottom w:val="none" w:sz="0" w:space="0" w:color="auto"/>
            <w:right w:val="none" w:sz="0" w:space="0" w:color="auto"/>
          </w:divBdr>
        </w:div>
      </w:divsChild>
    </w:div>
    <w:div w:id="443379504">
      <w:bodyDiv w:val="1"/>
      <w:marLeft w:val="0"/>
      <w:marRight w:val="0"/>
      <w:marTop w:val="0"/>
      <w:marBottom w:val="0"/>
      <w:divBdr>
        <w:top w:val="none" w:sz="0" w:space="0" w:color="auto"/>
        <w:left w:val="none" w:sz="0" w:space="0" w:color="auto"/>
        <w:bottom w:val="none" w:sz="0" w:space="0" w:color="auto"/>
        <w:right w:val="none" w:sz="0" w:space="0" w:color="auto"/>
      </w:divBdr>
      <w:divsChild>
        <w:div w:id="2083136872">
          <w:marLeft w:val="0"/>
          <w:marRight w:val="0"/>
          <w:marTop w:val="0"/>
          <w:marBottom w:val="0"/>
          <w:divBdr>
            <w:top w:val="none" w:sz="0" w:space="0" w:color="auto"/>
            <w:left w:val="none" w:sz="0" w:space="0" w:color="auto"/>
            <w:bottom w:val="none" w:sz="0" w:space="0" w:color="auto"/>
            <w:right w:val="none" w:sz="0" w:space="0" w:color="auto"/>
          </w:divBdr>
        </w:div>
      </w:divsChild>
    </w:div>
    <w:div w:id="626198965">
      <w:bodyDiv w:val="1"/>
      <w:marLeft w:val="0"/>
      <w:marRight w:val="0"/>
      <w:marTop w:val="0"/>
      <w:marBottom w:val="0"/>
      <w:divBdr>
        <w:top w:val="none" w:sz="0" w:space="0" w:color="auto"/>
        <w:left w:val="none" w:sz="0" w:space="0" w:color="auto"/>
        <w:bottom w:val="none" w:sz="0" w:space="0" w:color="auto"/>
        <w:right w:val="none" w:sz="0" w:space="0" w:color="auto"/>
      </w:divBdr>
      <w:divsChild>
        <w:div w:id="986982624">
          <w:marLeft w:val="0"/>
          <w:marRight w:val="0"/>
          <w:marTop w:val="0"/>
          <w:marBottom w:val="0"/>
          <w:divBdr>
            <w:top w:val="none" w:sz="0" w:space="0" w:color="auto"/>
            <w:left w:val="none" w:sz="0" w:space="0" w:color="auto"/>
            <w:bottom w:val="none" w:sz="0" w:space="0" w:color="auto"/>
            <w:right w:val="none" w:sz="0" w:space="0" w:color="auto"/>
          </w:divBdr>
        </w:div>
      </w:divsChild>
    </w:div>
    <w:div w:id="661005433">
      <w:bodyDiv w:val="1"/>
      <w:marLeft w:val="0"/>
      <w:marRight w:val="0"/>
      <w:marTop w:val="0"/>
      <w:marBottom w:val="0"/>
      <w:divBdr>
        <w:top w:val="none" w:sz="0" w:space="0" w:color="auto"/>
        <w:left w:val="none" w:sz="0" w:space="0" w:color="auto"/>
        <w:bottom w:val="none" w:sz="0" w:space="0" w:color="auto"/>
        <w:right w:val="none" w:sz="0" w:space="0" w:color="auto"/>
      </w:divBdr>
      <w:divsChild>
        <w:div w:id="1288050814">
          <w:marLeft w:val="0"/>
          <w:marRight w:val="0"/>
          <w:marTop w:val="0"/>
          <w:marBottom w:val="0"/>
          <w:divBdr>
            <w:top w:val="none" w:sz="0" w:space="0" w:color="auto"/>
            <w:left w:val="none" w:sz="0" w:space="0" w:color="auto"/>
            <w:bottom w:val="none" w:sz="0" w:space="0" w:color="auto"/>
            <w:right w:val="none" w:sz="0" w:space="0" w:color="auto"/>
          </w:divBdr>
        </w:div>
      </w:divsChild>
    </w:div>
    <w:div w:id="914779191">
      <w:bodyDiv w:val="1"/>
      <w:marLeft w:val="0"/>
      <w:marRight w:val="0"/>
      <w:marTop w:val="0"/>
      <w:marBottom w:val="0"/>
      <w:divBdr>
        <w:top w:val="none" w:sz="0" w:space="0" w:color="auto"/>
        <w:left w:val="none" w:sz="0" w:space="0" w:color="auto"/>
        <w:bottom w:val="none" w:sz="0" w:space="0" w:color="auto"/>
        <w:right w:val="none" w:sz="0" w:space="0" w:color="auto"/>
      </w:divBdr>
      <w:divsChild>
        <w:div w:id="1929265184">
          <w:marLeft w:val="0"/>
          <w:marRight w:val="0"/>
          <w:marTop w:val="0"/>
          <w:marBottom w:val="0"/>
          <w:divBdr>
            <w:top w:val="none" w:sz="0" w:space="0" w:color="auto"/>
            <w:left w:val="none" w:sz="0" w:space="0" w:color="auto"/>
            <w:bottom w:val="none" w:sz="0" w:space="0" w:color="auto"/>
            <w:right w:val="none" w:sz="0" w:space="0" w:color="auto"/>
          </w:divBdr>
        </w:div>
      </w:divsChild>
    </w:div>
    <w:div w:id="1210655409">
      <w:bodyDiv w:val="1"/>
      <w:marLeft w:val="0"/>
      <w:marRight w:val="0"/>
      <w:marTop w:val="0"/>
      <w:marBottom w:val="0"/>
      <w:divBdr>
        <w:top w:val="none" w:sz="0" w:space="0" w:color="auto"/>
        <w:left w:val="none" w:sz="0" w:space="0" w:color="auto"/>
        <w:bottom w:val="none" w:sz="0" w:space="0" w:color="auto"/>
        <w:right w:val="none" w:sz="0" w:space="0" w:color="auto"/>
      </w:divBdr>
      <w:divsChild>
        <w:div w:id="317422506">
          <w:marLeft w:val="0"/>
          <w:marRight w:val="0"/>
          <w:marTop w:val="0"/>
          <w:marBottom w:val="0"/>
          <w:divBdr>
            <w:top w:val="none" w:sz="0" w:space="0" w:color="auto"/>
            <w:left w:val="none" w:sz="0" w:space="0" w:color="auto"/>
            <w:bottom w:val="none" w:sz="0" w:space="0" w:color="auto"/>
            <w:right w:val="none" w:sz="0" w:space="0" w:color="auto"/>
          </w:divBdr>
        </w:div>
      </w:divsChild>
    </w:div>
    <w:div w:id="1397630472">
      <w:bodyDiv w:val="1"/>
      <w:marLeft w:val="0"/>
      <w:marRight w:val="0"/>
      <w:marTop w:val="0"/>
      <w:marBottom w:val="0"/>
      <w:divBdr>
        <w:top w:val="none" w:sz="0" w:space="0" w:color="auto"/>
        <w:left w:val="none" w:sz="0" w:space="0" w:color="auto"/>
        <w:bottom w:val="none" w:sz="0" w:space="0" w:color="auto"/>
        <w:right w:val="none" w:sz="0" w:space="0" w:color="auto"/>
      </w:divBdr>
      <w:divsChild>
        <w:div w:id="1846241913">
          <w:marLeft w:val="0"/>
          <w:marRight w:val="0"/>
          <w:marTop w:val="0"/>
          <w:marBottom w:val="0"/>
          <w:divBdr>
            <w:top w:val="none" w:sz="0" w:space="0" w:color="auto"/>
            <w:left w:val="none" w:sz="0" w:space="0" w:color="auto"/>
            <w:bottom w:val="none" w:sz="0" w:space="0" w:color="auto"/>
            <w:right w:val="none" w:sz="0" w:space="0" w:color="auto"/>
          </w:divBdr>
        </w:div>
      </w:divsChild>
    </w:div>
    <w:div w:id="1435903975">
      <w:bodyDiv w:val="1"/>
      <w:marLeft w:val="0"/>
      <w:marRight w:val="0"/>
      <w:marTop w:val="0"/>
      <w:marBottom w:val="0"/>
      <w:divBdr>
        <w:top w:val="none" w:sz="0" w:space="0" w:color="auto"/>
        <w:left w:val="none" w:sz="0" w:space="0" w:color="auto"/>
        <w:bottom w:val="none" w:sz="0" w:space="0" w:color="auto"/>
        <w:right w:val="none" w:sz="0" w:space="0" w:color="auto"/>
      </w:divBdr>
      <w:divsChild>
        <w:div w:id="1199196581">
          <w:marLeft w:val="0"/>
          <w:marRight w:val="0"/>
          <w:marTop w:val="0"/>
          <w:marBottom w:val="0"/>
          <w:divBdr>
            <w:top w:val="none" w:sz="0" w:space="0" w:color="auto"/>
            <w:left w:val="none" w:sz="0" w:space="0" w:color="auto"/>
            <w:bottom w:val="none" w:sz="0" w:space="0" w:color="auto"/>
            <w:right w:val="none" w:sz="0" w:space="0" w:color="auto"/>
          </w:divBdr>
        </w:div>
      </w:divsChild>
    </w:div>
    <w:div w:id="1620262800">
      <w:bodyDiv w:val="1"/>
      <w:marLeft w:val="0"/>
      <w:marRight w:val="0"/>
      <w:marTop w:val="0"/>
      <w:marBottom w:val="0"/>
      <w:divBdr>
        <w:top w:val="none" w:sz="0" w:space="0" w:color="auto"/>
        <w:left w:val="none" w:sz="0" w:space="0" w:color="auto"/>
        <w:bottom w:val="none" w:sz="0" w:space="0" w:color="auto"/>
        <w:right w:val="none" w:sz="0" w:space="0" w:color="auto"/>
      </w:divBdr>
      <w:divsChild>
        <w:div w:id="722103266">
          <w:marLeft w:val="0"/>
          <w:marRight w:val="0"/>
          <w:marTop w:val="0"/>
          <w:marBottom w:val="0"/>
          <w:divBdr>
            <w:top w:val="none" w:sz="0" w:space="0" w:color="auto"/>
            <w:left w:val="none" w:sz="0" w:space="0" w:color="auto"/>
            <w:bottom w:val="none" w:sz="0" w:space="0" w:color="auto"/>
            <w:right w:val="none" w:sz="0" w:space="0" w:color="auto"/>
          </w:divBdr>
        </w:div>
      </w:divsChild>
    </w:div>
    <w:div w:id="1975519833">
      <w:bodyDiv w:val="1"/>
      <w:marLeft w:val="0"/>
      <w:marRight w:val="0"/>
      <w:marTop w:val="0"/>
      <w:marBottom w:val="0"/>
      <w:divBdr>
        <w:top w:val="none" w:sz="0" w:space="0" w:color="auto"/>
        <w:left w:val="none" w:sz="0" w:space="0" w:color="auto"/>
        <w:bottom w:val="none" w:sz="0" w:space="0" w:color="auto"/>
        <w:right w:val="none" w:sz="0" w:space="0" w:color="auto"/>
      </w:divBdr>
      <w:divsChild>
        <w:div w:id="753625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adu&#380;ycia.POIS@mir.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9902D-14B3-4562-B078-CB45754E3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19</Pages>
  <Words>4809</Words>
  <Characters>28856</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D.Ziętek</dc:creator>
  <cp:keywords/>
  <dc:description/>
  <cp:lastModifiedBy>Anna Skuza</cp:lastModifiedBy>
  <cp:revision>11</cp:revision>
  <cp:lastPrinted>2021-04-08T10:12:00Z</cp:lastPrinted>
  <dcterms:created xsi:type="dcterms:W3CDTF">2021-03-24T11:41:00Z</dcterms:created>
  <dcterms:modified xsi:type="dcterms:W3CDTF">2021-04-13T13:45:00Z</dcterms:modified>
</cp:coreProperties>
</file>